
<file path=[Content_Types].xml><?xml version="1.0" encoding="utf-8"?>
<Types xmlns="http://schemas.openxmlformats.org/package/2006/content-types">
  <Default Extension="xml" ContentType="application/xml"/>
  <Default Extension="jpg" ContentType="image/jpeg"/>
  <Default Extension="png" ContentType="image/png"/>
  <Default Extension="rels" ContentType="application/vnd.openxmlformats-package.relationships+xml"/>
  <Default Extension="jpeg" ContentType="image/jpeg"/>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document.xml" ContentType="application/vnd.openxmlformats-officedocument.wordprocessingml.document.main+xml"/>
  <Override PartName="/word/endnotes.xml" ContentType="application/vnd.openxmlformats-officedocument.wordprocessingml.endnotes+xml"/>
  <Override PartName="/customXml/itemProps1.xml" ContentType="application/vnd.openxmlformats-officedocument.customXmlProperties+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body>
    <w:p w14:paraId="00000033">
      <w:pPr>
        <w:spacing w:line="240" w:lineRule="auto"/>
        <w:jc w:val="right"/>
        <w:rPr>
          <w:rFonts w:ascii="Times New Roman" w:cs="Times New Roman" w:hAnsi="Times New Roman"/>
          <w:sz w:val="24"/>
          <w:szCs w:val="24"/>
        </w:rPr>
      </w:pPr>
      <w:bookmarkStart w:id="0" w:name="_Hlk215697084"/>
    </w:p>
    <w:p w14:paraId="00000034">
      <w:pPr>
        <w:spacing w:line="240" w:lineRule="auto"/>
        <w:rPr>
          <w:rFonts w:ascii="Times New Roman" w:cs="Times New Roman" w:hAnsi="Times New Roman"/>
          <w:sz w:val="24"/>
          <w:szCs w:val="24"/>
          <w:lang w:val="en-US"/>
        </w:rPr>
      </w:pPr>
      <w:r>
        <w:rPr>
          <w:rFonts w:ascii="Times New Roman" w:cs="Times New Roman" w:hAnsi="Times New Roman"/>
          <w:sz w:val="24"/>
          <w:szCs w:val="24"/>
        </w:rPr>
        <w:t>УДК 81</w:t>
      </w:r>
      <w:r>
        <w:rPr>
          <w:rFonts w:ascii="Times New Roman" w:cs="Times New Roman" w:hAnsi="Times New Roman"/>
          <w:sz w:val="24"/>
          <w:szCs w:val="24"/>
        </w:rPr>
        <w:t>’</w:t>
      </w:r>
      <w:r>
        <w:rPr>
          <w:rFonts w:ascii="Times New Roman" w:cs="Times New Roman" w:hAnsi="Times New Roman"/>
          <w:sz w:val="24"/>
          <w:szCs w:val="24"/>
          <w:lang w:val="en-US"/>
        </w:rPr>
        <w:t>22</w:t>
      </w:r>
    </w:p>
    <w:p w14:paraId="00000035">
      <w:pPr>
        <w:spacing w:line="240" w:lineRule="auto"/>
        <w:rPr>
          <w:rFonts w:ascii="Times New Roman" w:cs="Times New Roman" w:hAnsi="Times New Roman"/>
          <w:sz w:val="24"/>
          <w:szCs w:val="24"/>
        </w:rPr>
      </w:pPr>
      <w:r>
        <w:rPr>
          <w:rFonts w:ascii="Times New Roman" w:cs="Times New Roman" w:hAnsi="Times New Roman"/>
          <w:sz w:val="24"/>
          <w:szCs w:val="24"/>
        </w:rPr>
        <w:t>БКК  Ш</w:t>
      </w:r>
      <w:r>
        <w:rPr>
          <w:rFonts w:ascii="Times New Roman" w:cs="Times New Roman" w:hAnsi="Times New Roman"/>
          <w:sz w:val="24"/>
          <w:szCs w:val="24"/>
        </w:rPr>
        <w:t>10</w:t>
      </w:r>
    </w:p>
    <w:p w14:paraId="00000036">
      <w:pPr>
        <w:spacing w:line="240" w:lineRule="auto"/>
        <w:rPr>
          <w:rFonts w:ascii="Times New Roman" w:cs="Times New Roman" w:hAnsi="Times New Roman"/>
          <w:sz w:val="24"/>
          <w:szCs w:val="24"/>
        </w:rPr>
      </w:pPr>
      <w:r>
        <w:rPr>
          <w:rFonts w:ascii="Times New Roman" w:cs="Times New Roman" w:hAnsi="Times New Roman"/>
          <w:sz w:val="24"/>
          <w:szCs w:val="24"/>
        </w:rPr>
        <w:t xml:space="preserve">          Б435</w:t>
      </w:r>
    </w:p>
    <w:p w14:paraId="00000037">
      <w:pPr>
        <w:spacing w:line="240" w:lineRule="auto"/>
        <w:jc w:val="right"/>
        <w:rPr>
          <w:rFonts w:ascii="Times New Roman" w:cs="Times New Roman" w:hAnsi="Times New Roman"/>
          <w:sz w:val="24"/>
          <w:szCs w:val="24"/>
        </w:rPr>
      </w:pPr>
      <w:r>
        <w:rPr>
          <w:rFonts w:ascii="Times New Roman" w:cs="Times New Roman" w:hAnsi="Times New Roman"/>
          <w:sz w:val="24"/>
          <w:szCs w:val="24"/>
        </w:rPr>
        <w:t xml:space="preserve">Наталья Николаевна Белозерова, </w:t>
      </w:r>
    </w:p>
    <w:p w14:paraId="00000038">
      <w:pPr>
        <w:spacing w:line="240" w:lineRule="auto"/>
        <w:jc w:val="right"/>
        <w:rPr>
          <w:rFonts w:ascii="Times New Roman" w:cs="Times New Roman" w:hAnsi="Times New Roman"/>
          <w:sz w:val="24"/>
          <w:szCs w:val="24"/>
        </w:rPr>
      </w:pPr>
      <w:r>
        <w:rPr>
          <w:rFonts w:ascii="Times New Roman" w:cs="Times New Roman" w:hAnsi="Times New Roman"/>
          <w:sz w:val="24"/>
          <w:szCs w:val="24"/>
        </w:rPr>
        <w:t>доктор филологических наук, профессор</w:t>
      </w:r>
    </w:p>
    <w:p w14:paraId="00000039">
      <w:pPr>
        <w:spacing w:line="240" w:lineRule="auto"/>
        <w:jc w:val="right"/>
        <w:rPr>
          <w:rFonts w:ascii="Times New Roman" w:cs="Times New Roman" w:hAnsi="Times New Roman"/>
          <w:sz w:val="24"/>
          <w:szCs w:val="24"/>
        </w:rPr>
      </w:pPr>
      <w:r>
        <w:rPr>
          <w:rFonts w:ascii="Times New Roman" w:cs="Times New Roman" w:hAnsi="Times New Roman"/>
          <w:sz w:val="24"/>
          <w:szCs w:val="24"/>
        </w:rPr>
        <w:t>Тюменский государственный университет</w:t>
      </w:r>
    </w:p>
    <w:p w14:paraId="0000003A">
      <w:pPr>
        <w:spacing w:line="240" w:lineRule="auto"/>
        <w:jc w:val="right"/>
        <w:rPr>
          <w:rFonts w:ascii="Times New Roman" w:cs="Times New Roman" w:hAnsi="Times New Roman"/>
          <w:sz w:val="24"/>
          <w:szCs w:val="24"/>
        </w:rPr>
      </w:pPr>
      <w:r>
        <w:rPr>
          <w:rFonts w:ascii="Times New Roman" w:cs="Times New Roman" w:hAnsi="Times New Roman"/>
          <w:sz w:val="24"/>
          <w:szCs w:val="24"/>
        </w:rPr>
        <w:t>Кафедра прикладной и теоретической лингвистики</w:t>
      </w:r>
    </w:p>
    <w:p w14:paraId="0000003B">
      <w:pPr>
        <w:spacing w:line="240" w:lineRule="auto"/>
        <w:jc w:val="right"/>
        <w:rPr>
          <w:rFonts w:ascii="Times New Roman" w:cs="Times New Roman" w:hAnsi="Times New Roman"/>
          <w:sz w:val="24"/>
          <w:szCs w:val="24"/>
        </w:rPr>
      </w:pPr>
      <w:r>
        <w:rPr>
          <w:rFonts w:ascii="Times New Roman" w:cs="Times New Roman" w:hAnsi="Times New Roman"/>
          <w:sz w:val="24"/>
          <w:szCs w:val="24"/>
          <w:lang w:val="fr-FR"/>
        </w:rPr>
        <w:t>n</w:t>
      </w:r>
      <w:r>
        <w:rPr>
          <w:rFonts w:ascii="Times New Roman" w:cs="Times New Roman" w:hAnsi="Times New Roman"/>
          <w:sz w:val="24"/>
          <w:szCs w:val="24"/>
        </w:rPr>
        <w:t>.</w:t>
      </w:r>
      <w:r>
        <w:rPr>
          <w:rFonts w:ascii="Times New Roman" w:cs="Times New Roman" w:hAnsi="Times New Roman"/>
          <w:sz w:val="24"/>
          <w:szCs w:val="24"/>
          <w:lang w:val="fr-FR"/>
        </w:rPr>
        <w:t>n</w:t>
      </w:r>
      <w:r>
        <w:rPr>
          <w:rFonts w:ascii="Times New Roman" w:cs="Times New Roman" w:hAnsi="Times New Roman"/>
          <w:sz w:val="24"/>
          <w:szCs w:val="24"/>
        </w:rPr>
        <w:t>.</w:t>
      </w:r>
      <w:r>
        <w:rPr>
          <w:rFonts w:ascii="Times New Roman" w:cs="Times New Roman" w:hAnsi="Times New Roman"/>
          <w:sz w:val="24"/>
          <w:szCs w:val="24"/>
          <w:lang w:val="fr-FR"/>
        </w:rPr>
        <w:t>belozerova</w:t>
      </w:r>
      <w:r>
        <w:rPr>
          <w:rFonts w:ascii="Times New Roman" w:cs="Times New Roman" w:hAnsi="Times New Roman"/>
          <w:sz w:val="24"/>
          <w:szCs w:val="24"/>
        </w:rPr>
        <w:t>@</w:t>
      </w:r>
      <w:r>
        <w:rPr>
          <w:rFonts w:ascii="Times New Roman" w:cs="Times New Roman" w:hAnsi="Times New Roman"/>
          <w:sz w:val="24"/>
          <w:szCs w:val="24"/>
          <w:lang w:val="fr-FR"/>
        </w:rPr>
        <w:t>utmn</w:t>
      </w:r>
      <w:r>
        <w:rPr>
          <w:rFonts w:ascii="Times New Roman" w:cs="Times New Roman" w:hAnsi="Times New Roman"/>
          <w:sz w:val="24"/>
          <w:szCs w:val="24"/>
        </w:rPr>
        <w:t>.</w:t>
      </w:r>
      <w:r>
        <w:rPr>
          <w:rFonts w:ascii="Times New Roman" w:cs="Times New Roman" w:hAnsi="Times New Roman"/>
          <w:sz w:val="24"/>
          <w:szCs w:val="24"/>
          <w:lang w:val="fr-FR"/>
        </w:rPr>
        <w:t>ru</w:t>
      </w:r>
    </w:p>
    <w:p w14:paraId="0000003C">
      <w:pPr>
        <w:spacing w:after="0" w:line="360" w:lineRule="auto"/>
        <w:jc w:val="right"/>
        <w:rPr>
          <w:rFonts w:ascii="Times New Roman" w:cs="Times New Roman" w:hAnsi="Times New Roman"/>
          <w:sz w:val="28"/>
          <w:szCs w:val="28"/>
        </w:rPr>
      </w:pPr>
      <w:r>
        <w:rPr>
          <w:rStyle w:val="Hyperlink"/>
          <w:rFonts w:ascii="Times New Roman" w:cs="Times New Roman" w:hAnsi="Times New Roman"/>
          <w:sz w:val="28"/>
          <w:szCs w:val="28"/>
          <w:lang w:val="en-US"/>
        </w:rPr>
        <w:fldChar w:fldCharType="begin"/>
      </w:r>
      <w:r>
        <w:rPr>
          <w:rStyle w:val="Hyperlink"/>
          <w:rFonts w:ascii="Times New Roman" w:cs="Times New Roman" w:hAnsi="Times New Roman"/>
          <w:sz w:val="28"/>
          <w:szCs w:val="28"/>
          <w:lang w:val="en-US"/>
        </w:rPr>
        <w:instrText xml:space="preserve">HYPERLINK "https://orcid.org/my-orcid?orcid=0000-0003-0892-7380" </w:instrText>
      </w:r>
      <w:r>
        <w:rPr>
          <w:rStyle w:val="Hyperlink"/>
          <w:rFonts w:ascii="Times New Roman" w:cs="Times New Roman" w:hAnsi="Times New Roman"/>
          <w:sz w:val="28"/>
          <w:szCs w:val="28"/>
          <w:lang w:val="en-US"/>
        </w:rPr>
        <w:fldChar w:fldCharType="separate"/>
      </w:r>
      <w:r>
        <w:rPr>
          <w:rStyle w:val="Hyperlink"/>
          <w:rFonts w:ascii="Times New Roman" w:cs="Times New Roman" w:hAnsi="Times New Roman"/>
          <w:sz w:val="28"/>
          <w:szCs w:val="28"/>
          <w:lang w:val="en-US"/>
        </w:rPr>
        <w:t>ORCID</w:t>
      </w:r>
      <w:r>
        <w:rPr>
          <w:rStyle w:val="Hyperlink"/>
          <w:rFonts w:ascii="Times New Roman" w:cs="Times New Roman" w:hAnsi="Times New Roman"/>
          <w:sz w:val="28"/>
          <w:szCs w:val="28"/>
        </w:rPr>
        <w:t>: 0000-0003-0892-7380</w:t>
      </w:r>
      <w:r>
        <w:rPr>
          <w:rFonts w:ascii="Times New Roman" w:cs="Times New Roman" w:hAnsi="Times New Roman"/>
          <w:sz w:val="28"/>
          <w:szCs w:val="28"/>
        </w:rPr>
        <w:fldChar w:fldCharType="end"/>
      </w:r>
      <w:bookmarkEnd w:id="0"/>
    </w:p>
    <w:p w14:paraId="0000003D">
      <w:pPr>
        <w:spacing w:line="240" w:lineRule="auto"/>
        <w:jc w:val="right"/>
        <w:rPr>
          <w:rFonts w:ascii="Times New Roman" w:cs="Times New Roman" w:hAnsi="Times New Roman"/>
          <w:sz w:val="24"/>
          <w:szCs w:val="24"/>
        </w:rPr>
      </w:pPr>
    </w:p>
    <w:p w14:paraId="0000003E">
      <w:pPr>
        <w:spacing w:line="240" w:lineRule="auto"/>
        <w:jc w:val="right"/>
        <w:rPr>
          <w:rFonts w:ascii="Times New Roman" w:cs="Times New Roman" w:hAnsi="Times New Roman"/>
          <w:sz w:val="24"/>
          <w:szCs w:val="24"/>
        </w:rPr>
      </w:pPr>
      <w:r>
        <w:rPr>
          <w:rFonts w:ascii="Times New Roman" w:cs="Times New Roman" w:hAnsi="Times New Roman"/>
          <w:sz w:val="24"/>
          <w:szCs w:val="24"/>
        </w:rPr>
        <w:t xml:space="preserve">Анна Валерьевна Габриэлян, </w:t>
      </w:r>
    </w:p>
    <w:p w14:paraId="0000003F">
      <w:pPr>
        <w:spacing w:line="240" w:lineRule="auto"/>
        <w:jc w:val="right"/>
        <w:rPr>
          <w:rFonts w:ascii="Times New Roman" w:cs="Times New Roman" w:hAnsi="Times New Roman"/>
          <w:sz w:val="24"/>
          <w:szCs w:val="24"/>
        </w:rPr>
      </w:pPr>
      <w:r>
        <w:rPr>
          <w:rFonts w:ascii="Times New Roman" w:cs="Times New Roman" w:hAnsi="Times New Roman"/>
          <w:sz w:val="24"/>
          <w:szCs w:val="24"/>
        </w:rPr>
        <w:t>студентка магистратуры программы «Прикладная лингвистика»</w:t>
      </w:r>
    </w:p>
    <w:p w14:paraId="00000040">
      <w:pPr>
        <w:spacing w:line="240" w:lineRule="auto"/>
        <w:jc w:val="right"/>
        <w:rPr>
          <w:rFonts w:ascii="Times New Roman" w:cs="Times New Roman" w:hAnsi="Times New Roman"/>
          <w:sz w:val="24"/>
          <w:szCs w:val="24"/>
        </w:rPr>
      </w:pPr>
      <w:r>
        <w:rPr>
          <w:rFonts w:ascii="Times New Roman" w:cs="Times New Roman" w:hAnsi="Times New Roman"/>
          <w:sz w:val="24"/>
          <w:szCs w:val="24"/>
        </w:rPr>
        <w:t>Тюменский государственный университет</w:t>
      </w:r>
    </w:p>
    <w:p w14:paraId="00000041">
      <w:pPr>
        <w:spacing w:line="240" w:lineRule="auto"/>
        <w:jc w:val="right"/>
        <w:rPr>
          <w:rFonts w:ascii="Times New Roman" w:cs="Times New Roman" w:hAnsi="Times New Roman"/>
          <w:sz w:val="24"/>
          <w:szCs w:val="24"/>
        </w:rPr>
      </w:pPr>
      <w:r>
        <w:rPr>
          <w:rFonts w:ascii="Times New Roman" w:cs="Times New Roman" w:hAnsi="Times New Roman"/>
          <w:sz w:val="24"/>
          <w:szCs w:val="24"/>
        </w:rPr>
        <w:t>Кафедра прикладной и теоретической лингвистики</w:t>
      </w:r>
    </w:p>
    <w:p w14:paraId="00000042">
      <w:pPr>
        <w:spacing w:line="240" w:lineRule="auto"/>
        <w:jc w:val="right"/>
        <w:rPr>
          <w:rFonts w:ascii="Times New Roman" w:cs="Times New Roman" w:hAnsi="Times New Roman"/>
          <w:sz w:val="24"/>
          <w:szCs w:val="24"/>
        </w:rPr>
      </w:pPr>
      <w:r>
        <w:rPr>
          <w:rFonts w:ascii="Times New Roman" w:cs="Times New Roman" w:hAnsi="Times New Roman"/>
          <w:sz w:val="24"/>
          <w:szCs w:val="24"/>
          <w:lang w:val="fr-FR"/>
        </w:rPr>
        <w:t>stud</w:t>
      </w:r>
      <w:r>
        <w:rPr>
          <w:rFonts w:ascii="Times New Roman" w:cs="Times New Roman" w:hAnsi="Times New Roman"/>
          <w:sz w:val="24"/>
          <w:szCs w:val="24"/>
        </w:rPr>
        <w:t>0000220942@</w:t>
      </w:r>
      <w:r>
        <w:rPr>
          <w:rFonts w:ascii="Times New Roman" w:cs="Times New Roman" w:hAnsi="Times New Roman"/>
          <w:sz w:val="24"/>
          <w:szCs w:val="24"/>
          <w:lang w:val="fr-FR"/>
        </w:rPr>
        <w:t>study</w:t>
      </w:r>
      <w:r>
        <w:rPr>
          <w:rFonts w:ascii="Times New Roman" w:cs="Times New Roman" w:hAnsi="Times New Roman"/>
          <w:sz w:val="24"/>
          <w:szCs w:val="24"/>
        </w:rPr>
        <w:t>.</w:t>
      </w:r>
      <w:r>
        <w:rPr>
          <w:rFonts w:ascii="Times New Roman" w:cs="Times New Roman" w:hAnsi="Times New Roman"/>
          <w:sz w:val="24"/>
          <w:szCs w:val="24"/>
          <w:lang w:val="fr-FR"/>
        </w:rPr>
        <w:t>utmn</w:t>
      </w:r>
      <w:r>
        <w:rPr>
          <w:rFonts w:ascii="Times New Roman" w:cs="Times New Roman" w:hAnsi="Times New Roman"/>
          <w:sz w:val="24"/>
          <w:szCs w:val="24"/>
        </w:rPr>
        <w:t>.</w:t>
      </w:r>
      <w:r>
        <w:rPr>
          <w:rFonts w:ascii="Times New Roman" w:cs="Times New Roman" w:hAnsi="Times New Roman"/>
          <w:sz w:val="24"/>
          <w:szCs w:val="24"/>
          <w:lang w:val="fr-FR"/>
        </w:rPr>
        <w:t>ru</w:t>
      </w:r>
    </w:p>
    <w:p w14:paraId="00000043">
      <w:pPr>
        <w:spacing w:after="0" w:line="360" w:lineRule="auto"/>
        <w:jc w:val="right"/>
        <w:rPr>
          <w:rFonts w:ascii="Times New Roman" w:cs="Times New Roman" w:hAnsi="Times New Roman"/>
          <w:sz w:val="28"/>
          <w:szCs w:val="28"/>
        </w:rPr>
      </w:pPr>
      <w:r>
        <w:rPr>
          <w:rStyle w:val="Hyperlink"/>
          <w:rFonts w:ascii="Times New Roman" w:cs="Times New Roman" w:hAnsi="Times New Roman"/>
          <w:sz w:val="28"/>
          <w:szCs w:val="28"/>
          <w:lang w:val="en-US"/>
        </w:rPr>
        <w:fldChar w:fldCharType="begin"/>
      </w:r>
      <w:r>
        <w:rPr>
          <w:rStyle w:val="Hyperlink"/>
          <w:rFonts w:ascii="Times New Roman" w:cs="Times New Roman" w:hAnsi="Times New Roman"/>
          <w:sz w:val="28"/>
          <w:szCs w:val="28"/>
          <w:lang w:val="en-US"/>
        </w:rPr>
        <w:instrText xml:space="preserve">HYPERLINK "https://orcid.org/my-orcid?orcid=0000-0003-0892-7380" </w:instrText>
      </w:r>
      <w:r>
        <w:rPr>
          <w:rStyle w:val="Hyperlink"/>
          <w:rFonts w:ascii="Times New Roman" w:cs="Times New Roman" w:hAnsi="Times New Roman"/>
          <w:sz w:val="28"/>
          <w:szCs w:val="28"/>
          <w:lang w:val="en-US"/>
        </w:rPr>
        <w:fldChar w:fldCharType="separate"/>
      </w:r>
      <w:r>
        <w:rPr>
          <w:rStyle w:val="Hyperlink"/>
          <w:rFonts w:ascii="Times New Roman" w:cs="Times New Roman" w:hAnsi="Times New Roman"/>
          <w:sz w:val="28"/>
          <w:szCs w:val="28"/>
          <w:lang w:val="en-US"/>
        </w:rPr>
        <w:t>ORCID</w:t>
      </w:r>
      <w:r>
        <w:rPr>
          <w:rStyle w:val="Hyperlink"/>
          <w:rFonts w:ascii="Times New Roman" w:cs="Times New Roman" w:hAnsi="Times New Roman"/>
          <w:sz w:val="28"/>
          <w:szCs w:val="28"/>
        </w:rPr>
        <w:t>: 0009-0000-1604-9720</w:t>
      </w:r>
      <w:r>
        <w:rPr>
          <w:rFonts w:ascii="Times New Roman" w:cs="Times New Roman" w:hAnsi="Times New Roman"/>
          <w:sz w:val="28"/>
          <w:szCs w:val="28"/>
        </w:rPr>
        <w:fldChar w:fldCharType="end"/>
      </w:r>
    </w:p>
    <w:p w14:paraId="00000044">
      <w:pPr>
        <w:spacing w:line="240" w:lineRule="auto"/>
        <w:jc w:val="right"/>
        <w:rPr>
          <w:rFonts w:ascii="Times New Roman" w:cs="Times New Roman" w:hAnsi="Times New Roman"/>
          <w:sz w:val="24"/>
          <w:szCs w:val="24"/>
        </w:rPr>
      </w:pPr>
    </w:p>
    <w:p w14:paraId="00000045">
      <w:pPr>
        <w:spacing w:line="240" w:lineRule="auto"/>
        <w:jc w:val="right"/>
        <w:rPr>
          <w:rFonts w:ascii="Times New Roman" w:cs="Times New Roman" w:hAnsi="Times New Roman"/>
          <w:sz w:val="24"/>
          <w:szCs w:val="24"/>
        </w:rPr>
      </w:pPr>
      <w:r>
        <w:rPr>
          <w:rFonts w:ascii="Times New Roman" w:cs="Times New Roman" w:hAnsi="Times New Roman"/>
          <w:sz w:val="24"/>
          <w:szCs w:val="24"/>
        </w:rPr>
        <w:t xml:space="preserve">Михаил Александрович Воронков, </w:t>
      </w:r>
    </w:p>
    <w:p w14:paraId="00000046">
      <w:pPr>
        <w:spacing w:line="240" w:lineRule="auto"/>
        <w:jc w:val="right"/>
        <w:rPr>
          <w:rFonts w:ascii="Times New Roman" w:cs="Times New Roman" w:hAnsi="Times New Roman"/>
          <w:sz w:val="24"/>
          <w:szCs w:val="24"/>
        </w:rPr>
      </w:pPr>
      <w:r>
        <w:rPr>
          <w:rFonts w:ascii="Times New Roman" w:cs="Times New Roman" w:hAnsi="Times New Roman"/>
          <w:sz w:val="24"/>
          <w:szCs w:val="24"/>
        </w:rPr>
        <w:t>студент магистратуры программы «Прикладная лингвистика»</w:t>
      </w:r>
    </w:p>
    <w:p w14:paraId="00000047">
      <w:pPr>
        <w:spacing w:line="240" w:lineRule="auto"/>
        <w:jc w:val="right"/>
        <w:rPr>
          <w:rFonts w:ascii="Times New Roman" w:cs="Times New Roman" w:hAnsi="Times New Roman"/>
          <w:sz w:val="24"/>
          <w:szCs w:val="24"/>
        </w:rPr>
      </w:pPr>
      <w:r>
        <w:rPr>
          <w:rFonts w:ascii="Times New Roman" w:cs="Times New Roman" w:hAnsi="Times New Roman"/>
          <w:sz w:val="24"/>
          <w:szCs w:val="24"/>
        </w:rPr>
        <w:t>Тюменский государственный университет</w:t>
      </w:r>
    </w:p>
    <w:p w14:paraId="00000048">
      <w:pPr>
        <w:spacing w:line="240" w:lineRule="auto"/>
        <w:jc w:val="right"/>
        <w:rPr>
          <w:rFonts w:ascii="Times New Roman" w:cs="Times New Roman" w:hAnsi="Times New Roman"/>
          <w:sz w:val="24"/>
          <w:szCs w:val="24"/>
        </w:rPr>
      </w:pPr>
      <w:r>
        <w:rPr>
          <w:rFonts w:ascii="Times New Roman" w:cs="Times New Roman" w:hAnsi="Times New Roman"/>
          <w:sz w:val="24"/>
          <w:szCs w:val="24"/>
        </w:rPr>
        <w:t>Кафедра прикладной и теоретической лингвистики</w:t>
      </w:r>
    </w:p>
    <w:p w14:paraId="00000049">
      <w:pPr>
        <w:spacing w:line="240" w:lineRule="auto"/>
        <w:jc w:val="right"/>
        <w:rPr>
          <w:rFonts w:ascii="Times New Roman" w:cs="Times New Roman" w:hAnsi="Times New Roman"/>
          <w:sz w:val="24"/>
          <w:szCs w:val="24"/>
        </w:rPr>
      </w:pPr>
      <w:r>
        <w:rPr>
          <w:rFonts w:ascii="Times New Roman" w:cs="Times New Roman" w:hAnsi="Times New Roman"/>
          <w:sz w:val="24"/>
          <w:szCs w:val="24"/>
          <w:lang w:val="fr-FR"/>
        </w:rPr>
        <w:t>stud</w:t>
      </w:r>
      <w:r>
        <w:rPr>
          <w:rFonts w:ascii="Times New Roman" w:cs="Times New Roman" w:hAnsi="Times New Roman"/>
          <w:sz w:val="24"/>
          <w:szCs w:val="24"/>
        </w:rPr>
        <w:t>0000263093@</w:t>
      </w:r>
      <w:r>
        <w:rPr>
          <w:rFonts w:ascii="Times New Roman" w:cs="Times New Roman" w:hAnsi="Times New Roman"/>
          <w:sz w:val="24"/>
          <w:szCs w:val="24"/>
          <w:lang w:val="en-US"/>
        </w:rPr>
        <w:t>study</w:t>
      </w:r>
      <w:r>
        <w:rPr>
          <w:rFonts w:ascii="Times New Roman" w:cs="Times New Roman" w:hAnsi="Times New Roman"/>
          <w:sz w:val="24"/>
          <w:szCs w:val="24"/>
        </w:rPr>
        <w:t>.</w:t>
      </w:r>
      <w:r>
        <w:rPr>
          <w:rFonts w:ascii="Times New Roman" w:cs="Times New Roman" w:hAnsi="Times New Roman"/>
          <w:sz w:val="24"/>
          <w:szCs w:val="24"/>
          <w:lang w:val="fr-FR"/>
        </w:rPr>
        <w:t>utmn</w:t>
      </w:r>
      <w:r>
        <w:rPr>
          <w:rFonts w:ascii="Times New Roman" w:cs="Times New Roman" w:hAnsi="Times New Roman"/>
          <w:sz w:val="24"/>
          <w:szCs w:val="24"/>
        </w:rPr>
        <w:t>.</w:t>
      </w:r>
      <w:r>
        <w:rPr>
          <w:rFonts w:ascii="Times New Roman" w:cs="Times New Roman" w:hAnsi="Times New Roman"/>
          <w:sz w:val="24"/>
          <w:szCs w:val="24"/>
          <w:lang w:val="fr-FR"/>
        </w:rPr>
        <w:t>ru</w:t>
      </w:r>
    </w:p>
    <w:p w14:paraId="0000004A">
      <w:pPr>
        <w:spacing w:after="0" w:line="360" w:lineRule="auto"/>
        <w:jc w:val="right"/>
        <w:rPr>
          <w:rStyle w:val="Hyperlink"/>
          <w:rFonts w:ascii="Times New Roman" w:cs="Times New Roman" w:hAnsi="Times New Roman"/>
          <w:sz w:val="28"/>
          <w:szCs w:val="28"/>
        </w:rPr>
      </w:pPr>
      <w:r>
        <w:rPr>
          <w:rStyle w:val="Hyperlink"/>
          <w:rFonts w:ascii="Times New Roman" w:cs="Times New Roman" w:hAnsi="Times New Roman"/>
          <w:sz w:val="28"/>
          <w:szCs w:val="28"/>
          <w:lang w:val="en-US"/>
        </w:rPr>
        <w:fldChar w:fldCharType="begin"/>
      </w:r>
      <w:r>
        <w:rPr>
          <w:rStyle w:val="Hyperlink"/>
          <w:rFonts w:ascii="Times New Roman" w:cs="Times New Roman" w:hAnsi="Times New Roman"/>
          <w:sz w:val="28"/>
          <w:szCs w:val="28"/>
          <w:lang w:val="en-US"/>
        </w:rPr>
        <w:instrText xml:space="preserve">HYPERLINK "https://orcid.org/my-orcid?orcid=0000-0003-0892-7380" </w:instrText>
      </w:r>
      <w:r>
        <w:rPr>
          <w:rStyle w:val="Hyperlink"/>
          <w:rFonts w:ascii="Times New Roman" w:cs="Times New Roman" w:hAnsi="Times New Roman"/>
          <w:sz w:val="28"/>
          <w:szCs w:val="28"/>
          <w:lang w:val="en-US"/>
        </w:rPr>
        <w:fldChar w:fldCharType="separate"/>
      </w:r>
      <w:r>
        <w:rPr>
          <w:rStyle w:val="Hyperlink"/>
          <w:rFonts w:ascii="Times New Roman" w:cs="Times New Roman" w:hAnsi="Times New Roman"/>
          <w:sz w:val="28"/>
          <w:szCs w:val="28"/>
          <w:lang w:val="en-US"/>
        </w:rPr>
        <w:t>ORCID</w:t>
      </w:r>
      <w:r>
        <w:rPr>
          <w:rStyle w:val="Hyperlink"/>
          <w:rFonts w:ascii="Times New Roman" w:cs="Times New Roman" w:hAnsi="Times New Roman"/>
          <w:sz w:val="28"/>
          <w:szCs w:val="28"/>
        </w:rPr>
        <w:t>: 0009-0004-1523-2135</w:t>
      </w:r>
      <w:r>
        <w:rPr>
          <w:rStyle w:val="Hyperlink"/>
          <w:rFonts w:ascii="Times New Roman" w:cs="Times New Roman" w:hAnsi="Times New Roman"/>
          <w:sz w:val="28"/>
          <w:szCs w:val="28"/>
        </w:rPr>
        <w:fldChar w:fldCharType="end"/>
      </w:r>
    </w:p>
    <w:p w14:paraId="0000004B">
      <w:pPr>
        <w:spacing w:after="0" w:line="360" w:lineRule="auto"/>
        <w:jc w:val="right"/>
        <w:rPr>
          <w:rFonts w:ascii="Times New Roman" w:cs="Times New Roman" w:hAnsi="Times New Roman"/>
          <w:sz w:val="28"/>
          <w:szCs w:val="28"/>
        </w:rPr>
      </w:pPr>
    </w:p>
    <w:p w14:paraId="0000004C">
      <w:pPr>
        <w:spacing w:line="240" w:lineRule="auto"/>
        <w:jc w:val="right"/>
        <w:rPr>
          <w:rFonts w:ascii="Times New Roman" w:cs="Times New Roman" w:hAnsi="Times New Roman"/>
          <w:sz w:val="24"/>
          <w:szCs w:val="24"/>
        </w:rPr>
      </w:pPr>
      <w:r>
        <w:rPr>
          <w:rFonts w:ascii="Times New Roman" w:cs="Times New Roman" w:hAnsi="Times New Roman"/>
          <w:sz w:val="24"/>
          <w:szCs w:val="24"/>
        </w:rPr>
        <w:t xml:space="preserve">Полина Александровна </w:t>
      </w:r>
      <w:r>
        <w:rPr>
          <w:rFonts w:ascii="Times New Roman" w:cs="Times New Roman" w:hAnsi="Times New Roman"/>
          <w:sz w:val="24"/>
          <w:szCs w:val="24"/>
        </w:rPr>
        <w:t>Зименс</w:t>
      </w:r>
      <w:r>
        <w:rPr>
          <w:rFonts w:ascii="Times New Roman" w:cs="Times New Roman" w:hAnsi="Times New Roman"/>
          <w:sz w:val="24"/>
          <w:szCs w:val="24"/>
        </w:rPr>
        <w:t xml:space="preserve">, </w:t>
      </w:r>
    </w:p>
    <w:p w14:paraId="0000004D">
      <w:pPr>
        <w:spacing w:line="240" w:lineRule="auto"/>
        <w:jc w:val="right"/>
        <w:rPr>
          <w:rFonts w:ascii="Times New Roman" w:cs="Times New Roman" w:hAnsi="Times New Roman"/>
          <w:sz w:val="24"/>
          <w:szCs w:val="24"/>
        </w:rPr>
      </w:pPr>
      <w:r>
        <w:rPr>
          <w:rFonts w:ascii="Times New Roman" w:cs="Times New Roman" w:hAnsi="Times New Roman"/>
          <w:sz w:val="24"/>
          <w:szCs w:val="24"/>
        </w:rPr>
        <w:t>студентка магистратуры программы «Прикладная лингвистика»</w:t>
      </w:r>
    </w:p>
    <w:p w14:paraId="0000004E">
      <w:pPr>
        <w:spacing w:line="240" w:lineRule="auto"/>
        <w:jc w:val="right"/>
        <w:rPr>
          <w:rFonts w:ascii="Times New Roman" w:cs="Times New Roman" w:hAnsi="Times New Roman"/>
          <w:sz w:val="24"/>
          <w:szCs w:val="24"/>
        </w:rPr>
      </w:pPr>
      <w:r>
        <w:rPr>
          <w:rFonts w:ascii="Times New Roman" w:cs="Times New Roman" w:hAnsi="Times New Roman"/>
          <w:sz w:val="24"/>
          <w:szCs w:val="24"/>
        </w:rPr>
        <w:t>Тюменский государственный университет</w:t>
      </w:r>
    </w:p>
    <w:p w14:paraId="0000004F">
      <w:pPr>
        <w:spacing w:line="240" w:lineRule="auto"/>
        <w:jc w:val="right"/>
        <w:rPr>
          <w:rFonts w:ascii="Times New Roman" w:cs="Times New Roman" w:hAnsi="Times New Roman"/>
          <w:sz w:val="24"/>
          <w:szCs w:val="24"/>
        </w:rPr>
      </w:pPr>
      <w:r>
        <w:rPr>
          <w:rFonts w:ascii="Times New Roman" w:cs="Times New Roman" w:hAnsi="Times New Roman"/>
          <w:sz w:val="24"/>
          <w:szCs w:val="24"/>
        </w:rPr>
        <w:t>Кафедра прикладной и теоретической лингвистики</w:t>
      </w:r>
    </w:p>
    <w:p w14:paraId="00000050">
      <w:pPr>
        <w:spacing w:line="240" w:lineRule="auto"/>
        <w:jc w:val="right"/>
        <w:rPr>
          <w:rFonts w:ascii="Times New Roman" w:cs="Times New Roman" w:hAnsi="Times New Roman"/>
          <w:sz w:val="24"/>
          <w:szCs w:val="24"/>
        </w:rPr>
      </w:pPr>
      <w:r>
        <w:rPr>
          <w:rFonts w:ascii="Times New Roman" w:cs="Times New Roman" w:hAnsi="Times New Roman"/>
          <w:sz w:val="24"/>
          <w:szCs w:val="24"/>
          <w:lang w:val="fr-FR"/>
        </w:rPr>
        <w:t>stud</w:t>
      </w:r>
      <w:r>
        <w:rPr>
          <w:rFonts w:ascii="Times New Roman" w:cs="Times New Roman" w:hAnsi="Times New Roman"/>
          <w:sz w:val="24"/>
          <w:szCs w:val="24"/>
        </w:rPr>
        <w:t>0000262142@</w:t>
      </w:r>
      <w:r>
        <w:rPr>
          <w:rFonts w:ascii="Times New Roman" w:cs="Times New Roman" w:hAnsi="Times New Roman"/>
          <w:sz w:val="24"/>
          <w:szCs w:val="24"/>
          <w:lang w:val="fr-FR"/>
        </w:rPr>
        <w:t>study</w:t>
      </w:r>
      <w:r>
        <w:rPr>
          <w:rFonts w:ascii="Times New Roman" w:cs="Times New Roman" w:hAnsi="Times New Roman"/>
          <w:sz w:val="24"/>
          <w:szCs w:val="24"/>
        </w:rPr>
        <w:t>.</w:t>
      </w:r>
      <w:r>
        <w:rPr>
          <w:rFonts w:ascii="Times New Roman" w:cs="Times New Roman" w:hAnsi="Times New Roman"/>
          <w:sz w:val="24"/>
          <w:szCs w:val="24"/>
          <w:lang w:val="fr-FR"/>
        </w:rPr>
        <w:t>utmn</w:t>
      </w:r>
      <w:r>
        <w:rPr>
          <w:rFonts w:ascii="Times New Roman" w:cs="Times New Roman" w:hAnsi="Times New Roman"/>
          <w:sz w:val="24"/>
          <w:szCs w:val="24"/>
        </w:rPr>
        <w:t>.</w:t>
      </w:r>
      <w:r>
        <w:rPr>
          <w:rFonts w:ascii="Times New Roman" w:cs="Times New Roman" w:hAnsi="Times New Roman"/>
          <w:sz w:val="24"/>
          <w:szCs w:val="24"/>
          <w:lang w:val="fr-FR"/>
        </w:rPr>
        <w:t>ru</w:t>
      </w:r>
    </w:p>
    <w:p w14:paraId="00000051">
      <w:pPr>
        <w:spacing w:after="0" w:line="360" w:lineRule="auto"/>
        <w:jc w:val="right"/>
        <w:rPr>
          <w:rStyle w:val="Hyperlink"/>
          <w:rFonts w:ascii="Times New Roman" w:cs="Times New Roman" w:hAnsi="Times New Roman"/>
          <w:sz w:val="28"/>
          <w:szCs w:val="28"/>
        </w:rPr>
      </w:pPr>
      <w:r>
        <w:rPr>
          <w:rStyle w:val="Hyperlink"/>
          <w:rFonts w:ascii="Times New Roman" w:cs="Times New Roman" w:hAnsi="Times New Roman"/>
          <w:sz w:val="28"/>
          <w:szCs w:val="28"/>
          <w:lang w:val="en-US"/>
        </w:rPr>
        <w:fldChar w:fldCharType="begin"/>
      </w:r>
      <w:r>
        <w:rPr>
          <w:rStyle w:val="Hyperlink"/>
          <w:rFonts w:ascii="Times New Roman" w:cs="Times New Roman" w:hAnsi="Times New Roman"/>
          <w:sz w:val="28"/>
          <w:szCs w:val="28"/>
          <w:lang w:val="en-US"/>
        </w:rPr>
        <w:instrText xml:space="preserve">HYPERLINK "https://orcid.org/my-orcid?orcid=0000-0003-0892-7380" </w:instrText>
      </w:r>
      <w:r>
        <w:rPr>
          <w:rStyle w:val="Hyperlink"/>
          <w:rFonts w:ascii="Times New Roman" w:cs="Times New Roman" w:hAnsi="Times New Roman"/>
          <w:sz w:val="28"/>
          <w:szCs w:val="28"/>
          <w:lang w:val="en-US"/>
        </w:rPr>
        <w:fldChar w:fldCharType="separate"/>
      </w:r>
      <w:r>
        <w:rPr>
          <w:rStyle w:val="Hyperlink"/>
          <w:rFonts w:ascii="Times New Roman" w:cs="Times New Roman" w:hAnsi="Times New Roman"/>
          <w:sz w:val="28"/>
          <w:szCs w:val="28"/>
          <w:lang w:val="en-US"/>
        </w:rPr>
        <w:t>ORCID</w:t>
      </w:r>
      <w:r>
        <w:rPr>
          <w:rStyle w:val="Hyperlink"/>
          <w:rFonts w:ascii="Times New Roman" w:cs="Times New Roman" w:hAnsi="Times New Roman"/>
          <w:sz w:val="28"/>
          <w:szCs w:val="28"/>
        </w:rPr>
        <w:t>: 0009-0006-5573-8450</w:t>
      </w:r>
      <w:r>
        <w:rPr>
          <w:rStyle w:val="Hyperlink"/>
          <w:rFonts w:ascii="Times New Roman" w:cs="Times New Roman" w:hAnsi="Times New Roman"/>
          <w:sz w:val="28"/>
          <w:szCs w:val="28"/>
        </w:rPr>
        <w:fldChar w:fldCharType="end"/>
      </w:r>
    </w:p>
    <w:p w14:paraId="00000052">
      <w:pPr>
        <w:spacing w:line="360" w:lineRule="auto"/>
        <w:jc w:val="right"/>
        <w:rPr>
          <w:rFonts w:ascii="Times New Roman" w:cs="Times New Roman" w:hAnsi="Times New Roman"/>
          <w:b/>
          <w:bCs/>
          <w:caps/>
          <w:sz w:val="28"/>
          <w:szCs w:val="28"/>
        </w:rPr>
      </w:pPr>
    </w:p>
    <w:p w14:paraId="00000053">
      <w:pPr>
        <w:spacing w:line="360" w:lineRule="auto"/>
        <w:jc w:val="center"/>
        <w:rPr>
          <w:rFonts w:ascii="Times New Roman" w:cs="Times New Roman" w:hAnsi="Times New Roman"/>
          <w:b/>
          <w:bCs/>
          <w:caps/>
          <w:sz w:val="28"/>
          <w:szCs w:val="28"/>
        </w:rPr>
      </w:pPr>
      <w:r>
        <w:rPr>
          <w:rFonts w:ascii="Times New Roman" w:cs="Times New Roman" w:hAnsi="Times New Roman"/>
          <w:b/>
          <w:bCs/>
          <w:caps/>
          <w:sz w:val="28"/>
          <w:szCs w:val="28"/>
        </w:rPr>
        <w:t>Комбинированный анализ (augumented analysis): использование инструментов больших языковых моделей для лингвистического исследования</w:t>
      </w:r>
    </w:p>
    <w:p w14:paraId="00000054">
      <w:pPr>
        <w:spacing w:line="360" w:lineRule="auto"/>
        <w:jc w:val="both"/>
        <w:rPr>
          <w:rFonts w:ascii="Times New Roman" w:cs="Times New Roman" w:hAnsi="Times New Roman"/>
          <w:sz w:val="28"/>
          <w:szCs w:val="28"/>
        </w:rPr>
      </w:pPr>
    </w:p>
    <w:p w14:paraId="00000055">
      <w:pPr>
        <w:spacing w:line="360" w:lineRule="auto"/>
        <w:jc w:val="both"/>
        <w:rPr>
          <w:rFonts w:ascii="Times New Roman" w:cs="Times New Roman" w:hAnsi="Times New Roman"/>
          <w:sz w:val="28"/>
          <w:szCs w:val="28"/>
        </w:rPr>
      </w:pPr>
      <w:r>
        <w:rPr>
          <w:rFonts w:ascii="Times New Roman" w:cs="Times New Roman" w:hAnsi="Times New Roman"/>
          <w:sz w:val="28"/>
          <w:szCs w:val="28"/>
        </w:rPr>
        <w:t>АННОТАЦИЯ</w:t>
      </w:r>
    </w:p>
    <w:p w14:paraId="00000056">
      <w:pPr>
        <w:spacing w:line="240" w:lineRule="auto"/>
        <w:jc w:val="both"/>
        <w:rPr>
          <w:rFonts w:ascii="Times New Roman" w:cs="Times New Roman" w:hAnsi="Times New Roman"/>
          <w:sz w:val="24"/>
          <w:szCs w:val="24"/>
        </w:rPr>
      </w:pPr>
      <w:r>
        <w:rPr>
          <w:rFonts w:ascii="Times New Roman" w:cs="Times New Roman" w:hAnsi="Times New Roman"/>
          <w:sz w:val="24"/>
          <w:szCs w:val="24"/>
        </w:rPr>
        <w:t>В статье анализируются предварительные результаты апробации «</w:t>
      </w:r>
      <w:r>
        <w:rPr>
          <w:rFonts w:ascii="Times New Roman" w:cs="Times New Roman" w:hAnsi="Times New Roman"/>
          <w:sz w:val="24"/>
          <w:szCs w:val="24"/>
        </w:rPr>
        <w:t>внутримодельных</w:t>
      </w:r>
      <w:r>
        <w:rPr>
          <w:rFonts w:ascii="Times New Roman" w:cs="Times New Roman" w:hAnsi="Times New Roman"/>
          <w:sz w:val="24"/>
          <w:szCs w:val="24"/>
        </w:rPr>
        <w:t xml:space="preserve">» инструментов генеративного </w:t>
      </w:r>
      <w:r>
        <w:rPr>
          <w:rFonts w:ascii="Times New Roman" w:cs="Times New Roman" w:hAnsi="Times New Roman"/>
          <w:sz w:val="24"/>
          <w:szCs w:val="24"/>
        </w:rPr>
        <w:t>искусственного интеллекта</w:t>
      </w:r>
      <w:r>
        <w:rPr>
          <w:rFonts w:ascii="Times New Roman" w:cs="Times New Roman" w:hAnsi="Times New Roman"/>
          <w:sz w:val="24"/>
          <w:szCs w:val="24"/>
        </w:rPr>
        <w:t xml:space="preserve"> для первичной обработки языковых и дискурсивных единиц в рамках дисциплины "Языковые модели" для студентов первого курса магистратуры по прикладной лингвистике.</w:t>
      </w:r>
      <w:r>
        <w:rPr>
          <w:rFonts w:ascii="Arial" w:cs="Arial" w:hAnsi="Arial"/>
          <w:color w:val="222222"/>
          <w:sz w:val="24"/>
          <w:szCs w:val="24"/>
          <w:shd w:val="clear" w:color="auto" w:fill="ffffff"/>
        </w:rPr>
        <w:t xml:space="preserve"> </w:t>
      </w:r>
      <w:r>
        <w:rPr>
          <w:rFonts w:ascii="Times New Roman" w:cs="Times New Roman" w:hAnsi="Times New Roman"/>
          <w:sz w:val="24"/>
          <w:szCs w:val="24"/>
        </w:rPr>
        <w:t>Для апробации привлекались как классические инструменты NLP, внедренные в практику еще в 1950 - 1970 годы, так и инструменты трансформера (</w:t>
      </w:r>
      <w:r>
        <w:rPr>
          <w:rFonts w:ascii="Times New Roman" w:cs="Times New Roman" w:hAnsi="Times New Roman"/>
          <w:sz w:val="24"/>
          <w:szCs w:val="24"/>
          <w:lang w:val="en-US"/>
        </w:rPr>
        <w:t>t</w:t>
      </w:r>
      <w:r>
        <w:rPr>
          <w:rFonts w:ascii="Times New Roman" w:cs="Times New Roman" w:hAnsi="Times New Roman"/>
          <w:sz w:val="24"/>
          <w:szCs w:val="24"/>
          <w:lang w:val="en-US"/>
        </w:rPr>
        <w:t>ransformer)</w:t>
      </w:r>
      <w:r>
        <w:rPr>
          <w:rFonts w:ascii="Times New Roman" w:cs="Times New Roman" w:hAnsi="Times New Roman"/>
          <w:sz w:val="24"/>
          <w:szCs w:val="24"/>
        </w:rPr>
        <w:t>, такие как механизм самовнимания (</w:t>
      </w:r>
      <w:r>
        <w:rPr>
          <w:rFonts w:ascii="Times New Roman" w:cs="Times New Roman" w:hAnsi="Times New Roman"/>
          <w:sz w:val="24"/>
          <w:szCs w:val="24"/>
          <w:lang w:val="en-US"/>
        </w:rPr>
        <w:t>s</w:t>
      </w:r>
      <w:r>
        <w:rPr>
          <w:rFonts w:ascii="Times New Roman" w:cs="Times New Roman" w:hAnsi="Times New Roman"/>
          <w:sz w:val="24"/>
          <w:szCs w:val="24"/>
        </w:rPr>
        <w:t>elf-</w:t>
      </w:r>
      <w:r>
        <w:rPr>
          <w:rFonts w:ascii="Times New Roman" w:cs="Times New Roman" w:hAnsi="Times New Roman"/>
          <w:sz w:val="24"/>
          <w:szCs w:val="24"/>
          <w:lang w:val="en-US"/>
        </w:rPr>
        <w:t>a</w:t>
      </w:r>
      <w:r>
        <w:rPr>
          <w:rFonts w:ascii="Times New Roman" w:cs="Times New Roman" w:hAnsi="Times New Roman"/>
          <w:sz w:val="24"/>
          <w:szCs w:val="24"/>
        </w:rPr>
        <w:t>ttention)</w:t>
      </w:r>
      <w:r>
        <w:rPr>
          <w:rFonts w:ascii="Times New Roman" w:cs="Times New Roman" w:hAnsi="Times New Roman"/>
          <w:sz w:val="24"/>
          <w:szCs w:val="24"/>
        </w:rPr>
        <w:t>, многоголового внимания (</w:t>
      </w:r>
      <w:r>
        <w:rPr>
          <w:rFonts w:ascii="Times New Roman" w:cs="Times New Roman" w:hAnsi="Times New Roman"/>
          <w:sz w:val="24"/>
          <w:szCs w:val="24"/>
          <w:lang w:val="en-US"/>
        </w:rPr>
        <w:t>m</w:t>
      </w:r>
      <w:r>
        <w:rPr>
          <w:rFonts w:ascii="Times New Roman" w:cs="Times New Roman" w:hAnsi="Times New Roman"/>
          <w:sz w:val="24"/>
          <w:szCs w:val="24"/>
        </w:rPr>
        <w:t>ulti-</w:t>
      </w:r>
      <w:r>
        <w:rPr>
          <w:rFonts w:ascii="Times New Roman" w:cs="Times New Roman" w:hAnsi="Times New Roman"/>
          <w:sz w:val="24"/>
          <w:szCs w:val="24"/>
          <w:lang w:val="en-US"/>
        </w:rPr>
        <w:t>h</w:t>
      </w:r>
      <w:r>
        <w:rPr>
          <w:rFonts w:ascii="Times New Roman" w:cs="Times New Roman" w:hAnsi="Times New Roman"/>
          <w:sz w:val="24"/>
          <w:szCs w:val="24"/>
        </w:rPr>
        <w:t>ead</w:t>
      </w:r>
      <w:r>
        <w:rPr>
          <w:rFonts w:ascii="Times New Roman" w:cs="Times New Roman" w:hAnsi="Times New Roman"/>
          <w:sz w:val="24"/>
          <w:szCs w:val="24"/>
        </w:rPr>
        <w:t> </w:t>
      </w:r>
      <w:r>
        <w:rPr>
          <w:rFonts w:ascii="Times New Roman" w:cs="Times New Roman" w:hAnsi="Times New Roman"/>
          <w:sz w:val="24"/>
          <w:szCs w:val="24"/>
          <w:lang w:val="en-US"/>
        </w:rPr>
        <w:t>a</w:t>
      </w:r>
      <w:r>
        <w:rPr>
          <w:rFonts w:ascii="Times New Roman" w:cs="Times New Roman" w:hAnsi="Times New Roman"/>
          <w:sz w:val="24"/>
          <w:szCs w:val="24"/>
        </w:rPr>
        <w:t>ttention)</w:t>
      </w:r>
      <w:r>
        <w:rPr>
          <w:rFonts w:ascii="Times New Roman" w:cs="Times New Roman" w:hAnsi="Times New Roman"/>
          <w:sz w:val="24"/>
          <w:szCs w:val="24"/>
        </w:rPr>
        <w:t>, а также построенные на правилах логики инструменты рассуждающих моделей, включающие граф знаний (</w:t>
      </w:r>
      <w:r>
        <w:rPr>
          <w:rFonts w:ascii="Times New Roman" w:cs="Times New Roman" w:hAnsi="Times New Roman"/>
          <w:sz w:val="24"/>
          <w:szCs w:val="24"/>
          <w:lang w:val="en-US"/>
        </w:rPr>
        <w:t>k</w:t>
      </w:r>
      <w:r>
        <w:rPr>
          <w:rFonts w:ascii="Times New Roman" w:cs="Times New Roman" w:hAnsi="Times New Roman"/>
          <w:sz w:val="24"/>
          <w:szCs w:val="24"/>
        </w:rPr>
        <w:t>nowledge</w:t>
      </w:r>
      <w:r>
        <w:rPr>
          <w:rFonts w:ascii="Times New Roman" w:cs="Times New Roman" w:hAnsi="Times New Roman"/>
          <w:sz w:val="24"/>
          <w:szCs w:val="24"/>
        </w:rPr>
        <w:t> </w:t>
      </w:r>
      <w:r>
        <w:rPr>
          <w:rFonts w:ascii="Times New Roman" w:cs="Times New Roman" w:hAnsi="Times New Roman"/>
          <w:sz w:val="24"/>
          <w:szCs w:val="24"/>
          <w:lang w:val="en-US"/>
        </w:rPr>
        <w:t>g</w:t>
      </w:r>
      <w:r>
        <w:rPr>
          <w:rFonts w:ascii="Times New Roman" w:cs="Times New Roman" w:hAnsi="Times New Roman"/>
          <w:sz w:val="24"/>
          <w:szCs w:val="24"/>
        </w:rPr>
        <w:t>raph) и логическую цепочку (</w:t>
      </w:r>
      <w:r>
        <w:rPr>
          <w:rFonts w:ascii="Times New Roman" w:cs="Times New Roman" w:hAnsi="Times New Roman"/>
          <w:sz w:val="24"/>
          <w:szCs w:val="24"/>
          <w:lang w:val="en-US"/>
        </w:rPr>
        <w:t>c</w:t>
      </w:r>
      <w:r>
        <w:rPr>
          <w:rFonts w:ascii="Times New Roman" w:cs="Times New Roman" w:hAnsi="Times New Roman"/>
          <w:sz w:val="24"/>
          <w:szCs w:val="24"/>
        </w:rPr>
        <w:t>hain-of-</w:t>
      </w:r>
      <w:r>
        <w:rPr>
          <w:rFonts w:ascii="Times New Roman" w:cs="Times New Roman" w:hAnsi="Times New Roman"/>
          <w:sz w:val="24"/>
          <w:szCs w:val="24"/>
          <w:lang w:val="en-US"/>
        </w:rPr>
        <w:t>t</w:t>
      </w:r>
      <w:r>
        <w:rPr>
          <w:rFonts w:ascii="Times New Roman" w:cs="Times New Roman" w:hAnsi="Times New Roman"/>
          <w:sz w:val="24"/>
          <w:szCs w:val="24"/>
        </w:rPr>
        <w:t>hought</w:t>
      </w:r>
      <w:r>
        <w:rPr>
          <w:rFonts w:ascii="Times New Roman" w:cs="Times New Roman" w:hAnsi="Times New Roman"/>
          <w:sz w:val="24"/>
          <w:szCs w:val="24"/>
        </w:rPr>
        <w:t>). При апробации формулировка наименований этих инструментов вводилась в текст запроса (</w:t>
      </w:r>
      <w:r>
        <w:rPr>
          <w:rFonts w:ascii="Times New Roman" w:cs="Times New Roman" w:hAnsi="Times New Roman"/>
          <w:sz w:val="24"/>
          <w:szCs w:val="24"/>
          <w:lang w:val="en-US"/>
        </w:rPr>
        <w:t>p</w:t>
      </w:r>
      <w:r>
        <w:rPr>
          <w:rFonts w:ascii="Times New Roman" w:cs="Times New Roman" w:hAnsi="Times New Roman"/>
          <w:sz w:val="24"/>
          <w:szCs w:val="24"/>
        </w:rPr>
        <w:t>rompt</w:t>
      </w:r>
      <w:r>
        <w:rPr>
          <w:rFonts w:ascii="Times New Roman" w:cs="Times New Roman" w:hAnsi="Times New Roman"/>
          <w:sz w:val="24"/>
          <w:szCs w:val="24"/>
        </w:rPr>
        <w:t xml:space="preserve">). Такие запросы использовались при валидации классических объяснительных лингвистических моделей, начиная с моделей знака до </w:t>
      </w:r>
      <w:r>
        <w:rPr>
          <w:rFonts w:ascii="Times New Roman" w:cs="Times New Roman" w:hAnsi="Times New Roman"/>
          <w:sz w:val="24"/>
          <w:szCs w:val="24"/>
        </w:rPr>
        <w:t>деконструктивных</w:t>
      </w:r>
      <w:r>
        <w:rPr>
          <w:rFonts w:ascii="Times New Roman" w:cs="Times New Roman" w:hAnsi="Times New Roman"/>
          <w:sz w:val="24"/>
          <w:szCs w:val="24"/>
        </w:rPr>
        <w:t xml:space="preserve"> построений Жака Деррида в ходе анализа ряда гетерогенных текстов.</w:t>
      </w:r>
      <w:r>
        <w:rPr>
          <w:rFonts w:ascii="Arial" w:cs="Arial" w:hAnsi="Arial"/>
          <w:color w:val="222222"/>
          <w:sz w:val="24"/>
          <w:szCs w:val="24"/>
          <w:shd w:val="clear" w:color="auto" w:fill="ffffff"/>
        </w:rPr>
        <w:t xml:space="preserve"> </w:t>
      </w:r>
      <w:r>
        <w:rPr>
          <w:rFonts w:ascii="Times New Roman" w:cs="Times New Roman" w:hAnsi="Times New Roman"/>
          <w:sz w:val="24"/>
          <w:szCs w:val="24"/>
        </w:rPr>
        <w:t>Анализ проводился в двух режимах: инструментальном и экспертном, как последовательно, так и интегрированно в зависимости от аналитических преференций студентов.</w:t>
      </w:r>
      <w:r>
        <w:rPr>
          <w:rFonts w:ascii="Arial" w:cs="Arial" w:eastAsia="Times New Roman" w:hAnsi="Arial"/>
          <w:color w:val="222222"/>
          <w:sz w:val="24"/>
          <w:szCs w:val="24"/>
          <w:shd w:val="clear" w:color="auto" w:fill="ffffff"/>
          <w:lang w:eastAsia="ru-RU"/>
        </w:rPr>
        <w:t xml:space="preserve"> </w:t>
      </w:r>
      <w:r>
        <w:rPr>
          <w:rFonts w:ascii="Times New Roman" w:cs="Times New Roman" w:hAnsi="Times New Roman"/>
          <w:sz w:val="24"/>
          <w:szCs w:val="24"/>
        </w:rPr>
        <w:t xml:space="preserve">При работе с инструментами NLP, </w:t>
      </w:r>
      <w:r>
        <w:rPr>
          <w:rFonts w:ascii="Times New Roman" w:cs="Times New Roman" w:hAnsi="Times New Roman"/>
          <w:sz w:val="24"/>
          <w:szCs w:val="24"/>
        </w:rPr>
        <w:t>трансформера</w:t>
      </w:r>
      <w:r>
        <w:rPr>
          <w:rFonts w:ascii="Times New Roman" w:cs="Times New Roman" w:hAnsi="Times New Roman"/>
          <w:sz w:val="24"/>
          <w:szCs w:val="24"/>
        </w:rPr>
        <w:t xml:space="preserve"> и рассуждения использовались следующие языковые модели: </w:t>
      </w:r>
      <w:r>
        <w:rPr>
          <w:rFonts w:ascii="Times New Roman" w:cs="Times New Roman" w:hAnsi="Times New Roman"/>
          <w:sz w:val="24"/>
          <w:szCs w:val="24"/>
        </w:rPr>
        <w:t>DeepSeek</w:t>
      </w:r>
      <w:r>
        <w:rPr>
          <w:rFonts w:ascii="Times New Roman" w:cs="Times New Roman" w:hAnsi="Times New Roman"/>
          <w:sz w:val="24"/>
          <w:szCs w:val="24"/>
        </w:rPr>
        <w:t xml:space="preserve"> R1, </w:t>
      </w:r>
      <w:r>
        <w:rPr>
          <w:rFonts w:ascii="Times New Roman" w:cs="Times New Roman" w:hAnsi="Times New Roman"/>
          <w:sz w:val="24"/>
          <w:szCs w:val="24"/>
        </w:rPr>
        <w:t>Perplexity</w:t>
      </w:r>
      <w:r>
        <w:rPr>
          <w:rFonts w:ascii="Times New Roman" w:cs="Times New Roman" w:hAnsi="Times New Roman"/>
          <w:sz w:val="24"/>
          <w:szCs w:val="24"/>
        </w:rPr>
        <w:t xml:space="preserve"> AI, </w:t>
      </w:r>
      <w:r>
        <w:rPr>
          <w:rFonts w:ascii="Times New Roman" w:cs="Times New Roman" w:hAnsi="Times New Roman"/>
          <w:sz w:val="24"/>
          <w:szCs w:val="24"/>
        </w:rPr>
        <w:t>Chat</w:t>
      </w:r>
      <w:r>
        <w:rPr>
          <w:rFonts w:ascii="Times New Roman" w:cs="Times New Roman" w:hAnsi="Times New Roman"/>
          <w:sz w:val="24"/>
          <w:szCs w:val="24"/>
        </w:rPr>
        <w:t xml:space="preserve"> GPT 4o, </w:t>
      </w:r>
      <w:r>
        <w:rPr>
          <w:rFonts w:ascii="Times New Roman" w:cs="Times New Roman" w:hAnsi="Times New Roman"/>
          <w:sz w:val="24"/>
          <w:szCs w:val="24"/>
        </w:rPr>
        <w:t>GigaChat</w:t>
      </w:r>
      <w:r>
        <w:rPr>
          <w:rFonts w:ascii="Times New Roman" w:cs="Times New Roman" w:hAnsi="Times New Roman"/>
          <w:sz w:val="24"/>
          <w:szCs w:val="24"/>
        </w:rPr>
        <w:t xml:space="preserve">, </w:t>
      </w:r>
      <w:r>
        <w:rPr>
          <w:rFonts w:ascii="Times New Roman" w:cs="Times New Roman" w:hAnsi="Times New Roman"/>
          <w:sz w:val="24"/>
          <w:szCs w:val="24"/>
        </w:rPr>
        <w:t>Mistral</w:t>
      </w:r>
      <w:r>
        <w:rPr>
          <w:rFonts w:ascii="Times New Roman" w:cs="Times New Roman" w:hAnsi="Times New Roman"/>
          <w:sz w:val="24"/>
          <w:szCs w:val="24"/>
        </w:rPr>
        <w:t xml:space="preserve"> AI3. Анализ результатов генерации на запросы показал, что наиболее исчерпывающими   оказалась "рассуждающая" модель DeepSeekR1, в которую встроены механизмы </w:t>
      </w:r>
      <w:r>
        <w:rPr>
          <w:rFonts w:ascii="Times New Roman" w:cs="Times New Roman" w:hAnsi="Times New Roman"/>
          <w:sz w:val="24"/>
          <w:szCs w:val="24"/>
          <w:lang w:val="en-US"/>
        </w:rPr>
        <w:t>c</w:t>
      </w:r>
      <w:r>
        <w:rPr>
          <w:rFonts w:ascii="Times New Roman" w:cs="Times New Roman" w:hAnsi="Times New Roman"/>
          <w:sz w:val="24"/>
          <w:szCs w:val="24"/>
        </w:rPr>
        <w:t>hain-of-</w:t>
      </w:r>
      <w:r>
        <w:rPr>
          <w:rFonts w:ascii="Times New Roman" w:cs="Times New Roman" w:hAnsi="Times New Roman"/>
          <w:sz w:val="24"/>
          <w:szCs w:val="24"/>
          <w:lang w:val="en-US"/>
        </w:rPr>
        <w:t>t</w:t>
      </w:r>
      <w:r>
        <w:rPr>
          <w:rFonts w:ascii="Times New Roman" w:cs="Times New Roman" w:hAnsi="Times New Roman"/>
          <w:sz w:val="24"/>
          <w:szCs w:val="24"/>
        </w:rPr>
        <w:t>hought (логическая цепочка)</w:t>
      </w:r>
      <w:r>
        <w:rPr>
          <w:rFonts w:ascii="Times New Roman" w:cs="Times New Roman" w:hAnsi="Times New Roman"/>
          <w:sz w:val="24"/>
          <w:szCs w:val="24"/>
        </w:rPr>
        <w:t xml:space="preserve"> и </w:t>
      </w:r>
      <w:r>
        <w:rPr>
          <w:rFonts w:ascii="Times New Roman" w:cs="Times New Roman" w:hAnsi="Times New Roman"/>
          <w:sz w:val="24"/>
          <w:szCs w:val="24"/>
          <w:lang w:val="en-US"/>
        </w:rPr>
        <w:t>k</w:t>
      </w:r>
      <w:r>
        <w:rPr>
          <w:rFonts w:ascii="Times New Roman" w:cs="Times New Roman" w:hAnsi="Times New Roman"/>
          <w:sz w:val="24"/>
          <w:szCs w:val="24"/>
        </w:rPr>
        <w:t>nowledge</w:t>
      </w:r>
      <w:r>
        <w:rPr>
          <w:rFonts w:ascii="Times New Roman" w:cs="Times New Roman" w:hAnsi="Times New Roman"/>
          <w:sz w:val="24"/>
          <w:szCs w:val="24"/>
        </w:rPr>
        <w:t xml:space="preserve"> </w:t>
      </w:r>
      <w:r>
        <w:rPr>
          <w:rFonts w:ascii="Times New Roman" w:cs="Times New Roman" w:hAnsi="Times New Roman"/>
          <w:sz w:val="24"/>
          <w:szCs w:val="24"/>
          <w:lang w:val="en-US"/>
        </w:rPr>
        <w:t>g</w:t>
      </w:r>
      <w:r>
        <w:rPr>
          <w:rFonts w:ascii="Times New Roman" w:cs="Times New Roman" w:hAnsi="Times New Roman"/>
          <w:sz w:val="24"/>
          <w:szCs w:val="24"/>
        </w:rPr>
        <w:t>raph (граф знаний)</w:t>
      </w:r>
      <w:r>
        <w:rPr>
          <w:rFonts w:ascii="Times New Roman" w:cs="Times New Roman" w:hAnsi="Times New Roman"/>
          <w:sz w:val="24"/>
          <w:szCs w:val="24"/>
        </w:rPr>
        <w:t xml:space="preserve">. Все аналитические процедуры, которые были предприняты при использовании </w:t>
      </w:r>
      <w:r>
        <w:rPr>
          <w:rFonts w:ascii="Times New Roman" w:cs="Times New Roman" w:hAnsi="Times New Roman"/>
          <w:sz w:val="24"/>
          <w:szCs w:val="24"/>
        </w:rPr>
        <w:t>внутримодельных</w:t>
      </w:r>
      <w:r>
        <w:rPr>
          <w:rFonts w:ascii="Times New Roman" w:cs="Times New Roman" w:hAnsi="Times New Roman"/>
          <w:sz w:val="24"/>
          <w:szCs w:val="24"/>
        </w:rPr>
        <w:t xml:space="preserve"> инструментов генеративных языковых моделей, </w:t>
      </w:r>
      <w:r>
        <w:rPr>
          <w:rFonts w:ascii="Times New Roman" w:cs="Times New Roman" w:hAnsi="Times New Roman"/>
          <w:sz w:val="24"/>
          <w:szCs w:val="24"/>
        </w:rPr>
        <w:t>по сути,</w:t>
      </w:r>
      <w:r>
        <w:rPr>
          <w:rFonts w:ascii="Times New Roman" w:cs="Times New Roman" w:hAnsi="Times New Roman"/>
          <w:sz w:val="24"/>
          <w:szCs w:val="24"/>
        </w:rPr>
        <w:t xml:space="preserve"> представляют собою комбинированную обработку вербальных текстов (</w:t>
      </w:r>
      <w:r>
        <w:rPr>
          <w:rFonts w:ascii="Times New Roman" w:cs="Times New Roman" w:hAnsi="Times New Roman"/>
          <w:sz w:val="24"/>
          <w:szCs w:val="24"/>
        </w:rPr>
        <w:t>human</w:t>
      </w:r>
      <w:r>
        <w:rPr>
          <w:rFonts w:ascii="Times New Roman" w:cs="Times New Roman" w:hAnsi="Times New Roman"/>
          <w:sz w:val="24"/>
          <w:szCs w:val="24"/>
        </w:rPr>
        <w:t xml:space="preserve"> </w:t>
      </w:r>
      <w:r>
        <w:rPr>
          <w:rFonts w:ascii="Times New Roman" w:cs="Times New Roman" w:hAnsi="Times New Roman"/>
          <w:sz w:val="24"/>
          <w:szCs w:val="24"/>
        </w:rPr>
        <w:t>verbal</w:t>
      </w:r>
      <w:r>
        <w:rPr>
          <w:rFonts w:ascii="Times New Roman" w:cs="Times New Roman" w:hAnsi="Times New Roman"/>
          <w:sz w:val="24"/>
          <w:szCs w:val="24"/>
        </w:rPr>
        <w:t xml:space="preserve"> </w:t>
      </w:r>
      <w:r>
        <w:rPr>
          <w:rFonts w:ascii="Times New Roman" w:cs="Times New Roman" w:hAnsi="Times New Roman"/>
          <w:sz w:val="24"/>
          <w:szCs w:val="24"/>
        </w:rPr>
        <w:t>texts</w:t>
      </w:r>
      <w:r>
        <w:rPr>
          <w:rFonts w:ascii="Times New Roman" w:cs="Times New Roman" w:hAnsi="Times New Roman"/>
          <w:sz w:val="24"/>
          <w:szCs w:val="24"/>
        </w:rPr>
        <w:t xml:space="preserve"> </w:t>
      </w:r>
      <w:r>
        <w:rPr>
          <w:rFonts w:ascii="Times New Roman" w:cs="Times New Roman" w:hAnsi="Times New Roman"/>
          <w:sz w:val="24"/>
          <w:szCs w:val="24"/>
        </w:rPr>
        <w:t>processing</w:t>
      </w:r>
      <w:r>
        <w:rPr>
          <w:rFonts w:ascii="Times New Roman" w:cs="Times New Roman" w:hAnsi="Times New Roman"/>
          <w:sz w:val="24"/>
          <w:szCs w:val="24"/>
        </w:rPr>
        <w:t xml:space="preserve">). Полученные результаты запросов, а также собственный экспертный анализ по параметрам классических объяснительных лингвистических моделей создали базу для последующих исследований языковых и дискурсивных единиц при минимальном проценте </w:t>
      </w:r>
      <w:r>
        <w:rPr>
          <w:rFonts w:ascii="Times New Roman" w:cs="Times New Roman" w:hAnsi="Times New Roman"/>
          <w:sz w:val="24"/>
          <w:szCs w:val="24"/>
        </w:rPr>
        <w:t>субьективизации</w:t>
      </w:r>
      <w:r>
        <w:rPr>
          <w:rFonts w:ascii="Times New Roman" w:cs="Times New Roman" w:hAnsi="Times New Roman"/>
          <w:sz w:val="24"/>
          <w:szCs w:val="24"/>
        </w:rPr>
        <w:t xml:space="preserve"> результатов.</w:t>
      </w:r>
    </w:p>
    <w:p w14:paraId="00000057">
      <w:pPr>
        <w:spacing w:line="240" w:lineRule="auto"/>
        <w:jc w:val="both"/>
        <w:rPr>
          <w:rFonts w:ascii="Times New Roman" w:cs="Times New Roman" w:hAnsi="Times New Roman"/>
          <w:sz w:val="24"/>
          <w:szCs w:val="24"/>
        </w:rPr>
      </w:pPr>
      <w:r>
        <w:rPr>
          <w:rFonts w:ascii="Times New Roman" w:cs="Times New Roman" w:hAnsi="Times New Roman"/>
          <w:sz w:val="24"/>
          <w:szCs w:val="24"/>
        </w:rPr>
        <w:t>КЛЮЧЕВЫЕ СЛОВА: инструменты Больших языковых моделей, интегрированный анализ, рассуждающая модель, трансформер, деконструкция</w:t>
      </w:r>
    </w:p>
    <w:p w14:paraId="00000058">
      <w:pPr>
        <w:spacing w:line="240" w:lineRule="auto"/>
        <w:jc w:val="both"/>
        <w:rPr>
          <w:rFonts w:ascii="Times New Roman" w:cs="Times New Roman" w:hAnsi="Times New Roman"/>
          <w:b/>
          <w:bCs/>
          <w:caps/>
          <w:sz w:val="24"/>
          <w:szCs w:val="24"/>
          <w:lang w:val="en-US"/>
        </w:rPr>
      </w:pPr>
      <w:r>
        <w:rPr>
          <w:rFonts w:ascii="Times New Roman" w:cs="Times New Roman" w:hAnsi="Times New Roman"/>
          <w:b/>
          <w:bCs/>
          <w:caps/>
          <w:sz w:val="24"/>
          <w:szCs w:val="24"/>
          <w:lang w:val="en-US"/>
        </w:rPr>
        <w:t>Augmented Analysis: Using Large Language Model Tools for Linguistic Research</w:t>
      </w:r>
    </w:p>
    <w:p w14:paraId="00000059">
      <w:pPr>
        <w:spacing w:line="240" w:lineRule="auto"/>
        <w:jc w:val="both"/>
        <w:rPr>
          <w:rFonts w:ascii="Times New Roman" w:cs="Times New Roman" w:hAnsi="Times New Roman"/>
          <w:sz w:val="24"/>
          <w:szCs w:val="24"/>
          <w:lang w:val="en-US"/>
        </w:rPr>
      </w:pPr>
      <w:r>
        <w:rPr>
          <w:rFonts w:ascii="Times New Roman" w:cs="Times New Roman" w:hAnsi="Times New Roman"/>
          <w:sz w:val="24"/>
          <w:szCs w:val="24"/>
          <w:lang w:val="en-US"/>
        </w:rPr>
        <w:t>ABSTRACT</w:t>
      </w:r>
    </w:p>
    <w:p w14:paraId="0000005A">
      <w:pPr>
        <w:spacing w:line="240" w:lineRule="auto"/>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This article analyzes preliminary results of testing "intra-model" generative artificial intelligence tools for the primary processing of linguistic and discourse units during the "Language Models" course for the first-year students of the Master's program in Applied Linguistics. The testing utilized both classic NLP tools, introduced into practice in the 1950s–1970s, and transformer tools such as self-attention and multiheaded attention, as well as rule-based reasoning modeling tools (knowledge graph, chain-of-thought). During testing, the names of these tools were entered into the query text (prompt). Such prompts were used to validate classic explanatory linguistic models, ranging from sign models to Jacques Derrida's deconstructions, in the analysis of a range of heterogeneous texts. The analysis was conducted in two modes: instrumental and expert, both sequentially and integrated, depending on the students' analytical preferences. The following </w:t>
      </w:r>
      <w:r>
        <w:rPr>
          <w:rFonts w:ascii="Times New Roman" w:cs="Times New Roman" w:hAnsi="Times New Roman"/>
          <w:sz w:val="24"/>
          <w:szCs w:val="24"/>
          <w:lang w:val="en-US"/>
        </w:rPr>
        <w:t xml:space="preserve">language models were used when working with NLP, transformer, and reasoning tools: DeepSeek R1, Perplexity AI, Chat GPT 4o, </w:t>
      </w:r>
      <w:r>
        <w:rPr>
          <w:rFonts w:ascii="Times New Roman" w:cs="Times New Roman" w:hAnsi="Times New Roman"/>
          <w:sz w:val="24"/>
          <w:szCs w:val="24"/>
          <w:lang w:val="en-US"/>
        </w:rPr>
        <w:t>GigaChat</w:t>
      </w:r>
      <w:r>
        <w:rPr>
          <w:rFonts w:ascii="Times New Roman" w:cs="Times New Roman" w:hAnsi="Times New Roman"/>
          <w:sz w:val="24"/>
          <w:szCs w:val="24"/>
          <w:lang w:val="en-US"/>
        </w:rPr>
        <w:t xml:space="preserve">, and Mistral AI3. Analysis of the results revealed that the "reasoning" model DeepSeek R1, which incorporates chain-of-thought and knowledge graph mechanisms, proved to be the most comprehensive. All analytical procedures undertaken using the in-model tools of generative language models essentially represent combined human verbal text processing. The model results, as well as our own expert analysis using the parameters of classical explanatory linguistic models, created a basis for subsequent research into linguistic and discourse units with a minimal percentage of </w:t>
      </w:r>
      <w:r>
        <w:rPr>
          <w:rFonts w:ascii="Times New Roman" w:cs="Times New Roman" w:hAnsi="Times New Roman"/>
          <w:sz w:val="24"/>
          <w:szCs w:val="24"/>
          <w:lang w:val="en-US"/>
        </w:rPr>
        <w:t>subjectivization</w:t>
      </w:r>
      <w:r>
        <w:rPr>
          <w:rFonts w:ascii="Times New Roman" w:cs="Times New Roman" w:hAnsi="Times New Roman"/>
          <w:sz w:val="24"/>
          <w:szCs w:val="24"/>
          <w:lang w:val="en-US"/>
        </w:rPr>
        <w:t xml:space="preserve"> of the results.</w:t>
      </w:r>
    </w:p>
    <w:p w14:paraId="0000005B">
      <w:pPr>
        <w:spacing w:line="240" w:lineRule="auto"/>
        <w:jc w:val="both"/>
        <w:rPr>
          <w:rFonts w:ascii="Times New Roman" w:cs="Times New Roman" w:hAnsi="Times New Roman"/>
          <w:sz w:val="24"/>
          <w:szCs w:val="24"/>
          <w:lang w:val="en-US"/>
        </w:rPr>
      </w:pPr>
      <w:r>
        <w:rPr>
          <w:rFonts w:ascii="Times New Roman" w:cs="Times New Roman" w:hAnsi="Times New Roman"/>
          <w:sz w:val="24"/>
          <w:szCs w:val="24"/>
          <w:lang w:val="en-US"/>
        </w:rPr>
        <w:t>KEYWORDS: Large Language Model tools, integrated analysis, reasoning model, transformer, deconstruction</w:t>
      </w:r>
    </w:p>
    <w:p w14:paraId="0000005C">
      <w:pPr>
        <w:spacing w:line="360" w:lineRule="auto"/>
        <w:jc w:val="both"/>
        <w:rPr>
          <w:rFonts w:ascii="Times New Roman" w:cs="Times New Roman" w:hAnsi="Times New Roman"/>
          <w:sz w:val="28"/>
          <w:szCs w:val="28"/>
          <w:lang w:val="en-US"/>
        </w:rPr>
      </w:pPr>
    </w:p>
    <w:p w14:paraId="0000005D">
      <w:pPr>
        <w:spacing w:line="360" w:lineRule="auto"/>
        <w:jc w:val="both"/>
        <w:rPr>
          <w:rFonts w:ascii="Times New Roman" w:cs="Times New Roman" w:hAnsi="Times New Roman"/>
          <w:sz w:val="28"/>
          <w:szCs w:val="28"/>
        </w:rPr>
      </w:pPr>
      <w:r>
        <w:rPr>
          <w:rFonts w:ascii="Times New Roman" w:cs="Times New Roman" w:hAnsi="Times New Roman"/>
          <w:sz w:val="28"/>
          <w:szCs w:val="28"/>
        </w:rPr>
        <w:t>ВВЕДЕНИЕ</w:t>
      </w:r>
    </w:p>
    <w:p w14:paraId="0000005E">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 xml:space="preserve">Идея использовать непосредственные инструменты механизмов </w:t>
      </w:r>
      <w:r>
        <w:rPr>
          <w:rFonts w:ascii="Times New Roman" w:cs="Times New Roman" w:hAnsi="Times New Roman"/>
          <w:sz w:val="28"/>
          <w:szCs w:val="28"/>
          <w:lang w:val="en-US"/>
        </w:rPr>
        <w:t>NLP</w:t>
      </w:r>
      <w:r>
        <w:rPr>
          <w:rFonts w:ascii="Times New Roman" w:cs="Times New Roman" w:hAnsi="Times New Roman"/>
          <w:sz w:val="28"/>
          <w:szCs w:val="28"/>
        </w:rPr>
        <w:t xml:space="preserve"> и </w:t>
      </w:r>
      <w:r>
        <w:rPr>
          <w:rFonts w:ascii="Times New Roman" w:cs="Times New Roman" w:hAnsi="Times New Roman"/>
          <w:sz w:val="28"/>
          <w:szCs w:val="28"/>
        </w:rPr>
        <w:t>Б</w:t>
      </w:r>
      <w:r>
        <w:rPr>
          <w:rFonts w:ascii="Times New Roman" w:cs="Times New Roman" w:hAnsi="Times New Roman"/>
          <w:sz w:val="28"/>
          <w:szCs w:val="28"/>
        </w:rPr>
        <w:t xml:space="preserve">ольших языковых моделей появилась в результате поисков способов валидации лингвистических моделей, которые могли бы максимально нивелировать субъективный фактор при аналитических процедурах. Кроме того, при неизбежном использовании студентами генеративного искусственного интеллекта важным представляется поиск механизма, который позволил бы уйти от нетворческого использования результатов статико-вероятностной генерации. Третий момент, который заставил нас обратиться к </w:t>
      </w:r>
      <w:r>
        <w:rPr>
          <w:rFonts w:ascii="Times New Roman" w:cs="Times New Roman" w:hAnsi="Times New Roman"/>
          <w:sz w:val="28"/>
          <w:szCs w:val="28"/>
        </w:rPr>
        <w:t>внутримодельным</w:t>
      </w:r>
      <w:r>
        <w:rPr>
          <w:rFonts w:ascii="Times New Roman" w:cs="Times New Roman" w:hAnsi="Times New Roman"/>
          <w:sz w:val="28"/>
          <w:szCs w:val="28"/>
        </w:rPr>
        <w:t xml:space="preserve"> инструментам — это неизбежный для валидации возврат к правилам (</w:t>
      </w:r>
      <w:r>
        <w:rPr>
          <w:rFonts w:ascii="Times New Roman" w:cs="Times New Roman" w:hAnsi="Times New Roman"/>
          <w:sz w:val="28"/>
          <w:szCs w:val="28"/>
          <w:lang w:val="en-US"/>
        </w:rPr>
        <w:t>r</w:t>
      </w:r>
      <w:r>
        <w:rPr>
          <w:rFonts w:ascii="Times New Roman" w:cs="Times New Roman" w:hAnsi="Times New Roman"/>
          <w:sz w:val="28"/>
          <w:szCs w:val="28"/>
        </w:rPr>
        <w:t>uled</w:t>
      </w:r>
      <w:r>
        <w:rPr>
          <w:rFonts w:ascii="Times New Roman" w:cs="Times New Roman" w:hAnsi="Times New Roman"/>
          <w:sz w:val="28"/>
          <w:szCs w:val="28"/>
        </w:rPr>
        <w:t>-</w:t>
      </w:r>
      <w:r>
        <w:rPr>
          <w:rFonts w:ascii="Times New Roman" w:cs="Times New Roman" w:hAnsi="Times New Roman"/>
          <w:sz w:val="28"/>
          <w:szCs w:val="28"/>
          <w:lang w:val="en-US"/>
        </w:rPr>
        <w:t>b</w:t>
      </w:r>
      <w:r>
        <w:rPr>
          <w:rFonts w:ascii="Times New Roman" w:cs="Times New Roman" w:hAnsi="Times New Roman"/>
          <w:sz w:val="28"/>
          <w:szCs w:val="28"/>
        </w:rPr>
        <w:t>ased</w:t>
      </w:r>
      <w:r>
        <w:rPr>
          <w:rFonts w:ascii="Times New Roman" w:cs="Times New Roman" w:hAnsi="Times New Roman"/>
          <w:sz w:val="28"/>
          <w:szCs w:val="28"/>
        </w:rPr>
        <w:t xml:space="preserve"> </w:t>
      </w:r>
      <w:r>
        <w:rPr>
          <w:rFonts w:ascii="Times New Roman" w:cs="Times New Roman" w:hAnsi="Times New Roman"/>
          <w:sz w:val="28"/>
          <w:szCs w:val="28"/>
          <w:lang w:val="en-US"/>
        </w:rPr>
        <w:t>t</w:t>
      </w:r>
      <w:r>
        <w:rPr>
          <w:rFonts w:ascii="Times New Roman" w:cs="Times New Roman" w:hAnsi="Times New Roman"/>
          <w:sz w:val="28"/>
          <w:szCs w:val="28"/>
        </w:rPr>
        <w:t>ools</w:t>
      </w:r>
      <w:r>
        <w:rPr>
          <w:rFonts w:ascii="Times New Roman" w:cs="Times New Roman" w:hAnsi="Times New Roman"/>
          <w:sz w:val="28"/>
          <w:szCs w:val="28"/>
        </w:rPr>
        <w:t xml:space="preserve">), поскольку в основе всех </w:t>
      </w:r>
      <w:r>
        <w:rPr>
          <w:rFonts w:ascii="Times New Roman" w:cs="Times New Roman" w:hAnsi="Times New Roman"/>
          <w:sz w:val="28"/>
          <w:szCs w:val="28"/>
        </w:rPr>
        <w:t>внутримодельных</w:t>
      </w:r>
      <w:r>
        <w:rPr>
          <w:rFonts w:ascii="Times New Roman" w:cs="Times New Roman" w:hAnsi="Times New Roman"/>
          <w:sz w:val="28"/>
          <w:szCs w:val="28"/>
        </w:rPr>
        <w:t xml:space="preserve"> драйверов лежат строгие математические формулы. </w:t>
      </w:r>
    </w:p>
    <w:p w14:paraId="0000005F">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 xml:space="preserve">Лингвистические модели, которые валидировались при помощи инструментов </w:t>
      </w:r>
      <w:r>
        <w:rPr>
          <w:rFonts w:ascii="Times New Roman" w:cs="Times New Roman" w:hAnsi="Times New Roman"/>
          <w:sz w:val="28"/>
          <w:szCs w:val="28"/>
        </w:rPr>
        <w:t>Б</w:t>
      </w:r>
      <w:r>
        <w:rPr>
          <w:rFonts w:ascii="Times New Roman" w:cs="Times New Roman" w:hAnsi="Times New Roman"/>
          <w:sz w:val="28"/>
          <w:szCs w:val="28"/>
        </w:rPr>
        <w:t xml:space="preserve">ольших языковых моделей – это модели языкового знака Ч. Пирса, Ч. Морриса и Ф. де Соссюра; классификация кодов Д. </w:t>
      </w:r>
      <w:r>
        <w:rPr>
          <w:rFonts w:ascii="Times New Roman" w:cs="Times New Roman" w:hAnsi="Times New Roman"/>
          <w:sz w:val="28"/>
          <w:szCs w:val="28"/>
        </w:rPr>
        <w:t>Чэндлера</w:t>
      </w:r>
      <w:r>
        <w:rPr>
          <w:rFonts w:ascii="Times New Roman" w:cs="Times New Roman" w:hAnsi="Times New Roman"/>
          <w:sz w:val="28"/>
          <w:szCs w:val="28"/>
        </w:rPr>
        <w:t xml:space="preserve">; морфологическая дистрибуция, порождающая синтаксические модели; структурные, функциональные и семантические модели текста; модель семи стандартов текстуальности Р. де </w:t>
      </w:r>
      <w:r>
        <w:rPr>
          <w:rFonts w:ascii="Times New Roman" w:cs="Times New Roman" w:hAnsi="Times New Roman"/>
          <w:sz w:val="28"/>
          <w:szCs w:val="28"/>
        </w:rPr>
        <w:t>Богранда</w:t>
      </w:r>
      <w:r>
        <w:rPr>
          <w:rFonts w:ascii="Times New Roman" w:cs="Times New Roman" w:hAnsi="Times New Roman"/>
          <w:sz w:val="28"/>
          <w:szCs w:val="28"/>
        </w:rPr>
        <w:t xml:space="preserve"> и В. </w:t>
      </w:r>
      <w:r>
        <w:rPr>
          <w:rFonts w:ascii="Times New Roman" w:cs="Times New Roman" w:hAnsi="Times New Roman"/>
          <w:sz w:val="28"/>
          <w:szCs w:val="28"/>
        </w:rPr>
        <w:t>Дресселя</w:t>
      </w:r>
      <w:r>
        <w:rPr>
          <w:rFonts w:ascii="Times New Roman" w:cs="Times New Roman" w:hAnsi="Times New Roman"/>
          <w:sz w:val="28"/>
          <w:szCs w:val="28"/>
        </w:rPr>
        <w:t xml:space="preserve">; модель </w:t>
      </w:r>
      <w:r>
        <w:rPr>
          <w:rFonts w:ascii="Times New Roman" w:cs="Times New Roman" w:hAnsi="Times New Roman"/>
          <w:sz w:val="28"/>
          <w:szCs w:val="28"/>
        </w:rPr>
        <w:t>деконструктивного</w:t>
      </w:r>
      <w:r>
        <w:rPr>
          <w:rFonts w:ascii="Times New Roman" w:cs="Times New Roman" w:hAnsi="Times New Roman"/>
          <w:sz w:val="28"/>
          <w:szCs w:val="28"/>
        </w:rPr>
        <w:t xml:space="preserve"> анализа Жака Деррида; коммуникативные и фреймовые построения.</w:t>
      </w:r>
    </w:p>
    <w:p w14:paraId="00000060">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Представим отобранные инструменты в виде таблицы, где включается и предмет валидации, и возможный запрос (</w:t>
      </w:r>
      <w:r>
        <w:rPr>
          <w:rFonts w:ascii="Times New Roman" w:cs="Times New Roman" w:hAnsi="Times New Roman"/>
          <w:sz w:val="28"/>
          <w:szCs w:val="28"/>
          <w:lang w:val="en-US"/>
        </w:rPr>
        <w:t>prompt</w:t>
      </w:r>
      <w:r>
        <w:rPr>
          <w:rFonts w:ascii="Times New Roman" w:cs="Times New Roman" w:hAnsi="Times New Roman"/>
          <w:sz w:val="28"/>
          <w:szCs w:val="28"/>
        </w:rPr>
        <w:t>).</w:t>
      </w:r>
    </w:p>
    <w:p w14:paraId="00000061">
      <w:pPr>
        <w:spacing w:line="360" w:lineRule="auto"/>
        <w:jc w:val="both"/>
        <w:rPr>
          <w:rFonts w:ascii="Times New Roman" w:cs="Times New Roman" w:hAnsi="Times New Roman"/>
          <w:sz w:val="28"/>
          <w:szCs w:val="28"/>
        </w:rPr>
      </w:pPr>
      <w:r>
        <w:rPr>
          <w:rFonts w:ascii="Times New Roman" w:cs="Times New Roman" w:hAnsi="Times New Roman"/>
          <w:sz w:val="28"/>
          <w:szCs w:val="28"/>
        </w:rPr>
        <w:t>Таб</w:t>
      </w:r>
      <w:r>
        <w:rPr>
          <w:rFonts w:ascii="Times New Roman" w:cs="Times New Roman" w:hAnsi="Times New Roman"/>
          <w:sz w:val="28"/>
          <w:szCs w:val="28"/>
          <w:lang w:val="en-US"/>
        </w:rPr>
        <w:t>. 1. AI TOOLS TO BE USED TO PROCESS LINGUISTIC DATA</w:t>
      </w:r>
    </w:p>
    <w:tbl>
      <w:tblPr>
        <w:tblStyle w:val="TableGrid"/>
        <w:tblW w:w="0" w:type="auto"/>
        <w:tblLook w:val="04A0"/>
      </w:tblPr>
      <w:tblGrid>
        <w:gridCol w:w="673"/>
        <w:gridCol w:w="3021"/>
        <w:gridCol w:w="2294"/>
        <w:gridCol w:w="3357"/>
      </w:tblGrid>
      <w:tr>
        <w:trPr/>
        <w:tc>
          <w:tcPr>
            <w:cnfStyle w:val="101000000000"/>
            <w:tcW w:w="721" w:type="dxa"/>
          </w:tcPr>
          <w:p w14:paraId="00000062">
            <w:pPr>
              <w:jc w:val="both"/>
              <w:rPr>
                <w:rFonts w:ascii="Times New Roman" w:cs="Times New Roman" w:hAnsi="Times New Roman"/>
                <w:b/>
                <w:bCs/>
                <w:lang w:val="en-US"/>
              </w:rPr>
            </w:pPr>
          </w:p>
        </w:tc>
        <w:tc>
          <w:tcPr>
            <w:cnfStyle w:val="100000000000"/>
            <w:tcW w:w="3239" w:type="dxa"/>
          </w:tcPr>
          <w:p w14:paraId="00000063">
            <w:pPr>
              <w:jc w:val="both"/>
              <w:rPr>
                <w:rFonts w:ascii="Times New Roman" w:cs="Times New Roman" w:hAnsi="Times New Roman"/>
                <w:b/>
                <w:bCs/>
                <w:lang w:val="en-US"/>
              </w:rPr>
            </w:pPr>
            <w:r>
              <w:rPr>
                <w:rFonts w:ascii="Times New Roman" w:cs="Times New Roman" w:hAnsi="Times New Roman"/>
                <w:b/>
                <w:bCs/>
                <w:lang w:val="en-US"/>
              </w:rPr>
              <w:t>AI Tool</w:t>
            </w:r>
          </w:p>
        </w:tc>
        <w:tc>
          <w:tcPr>
            <w:cnfStyle w:val="100000000000"/>
            <w:tcW w:w="2388" w:type="dxa"/>
          </w:tcPr>
          <w:p w14:paraId="00000064">
            <w:pPr>
              <w:jc w:val="both"/>
              <w:rPr>
                <w:rFonts w:ascii="Times New Roman" w:cs="Times New Roman" w:hAnsi="Times New Roman"/>
                <w:b/>
                <w:bCs/>
                <w:lang w:val="en-US"/>
              </w:rPr>
            </w:pPr>
            <w:r>
              <w:rPr>
                <w:rFonts w:ascii="Times New Roman" w:cs="Times New Roman" w:hAnsi="Times New Roman"/>
                <w:b/>
                <w:bCs/>
                <w:lang w:val="en-US"/>
              </w:rPr>
              <w:t>Language Units</w:t>
            </w:r>
          </w:p>
        </w:tc>
        <w:tc>
          <w:tcPr>
            <w:cnfStyle w:val="100000000000"/>
            <w:tcW w:w="2997" w:type="dxa"/>
          </w:tcPr>
          <w:p w14:paraId="00000065">
            <w:pPr>
              <w:jc w:val="both"/>
              <w:rPr>
                <w:rFonts w:ascii="Times New Roman" w:cs="Times New Roman" w:hAnsi="Times New Roman"/>
                <w:b/>
                <w:bCs/>
                <w:lang w:val="en-US"/>
              </w:rPr>
            </w:pPr>
            <w:r>
              <w:rPr>
                <w:rFonts w:ascii="Times New Roman" w:cs="Times New Roman" w:hAnsi="Times New Roman"/>
                <w:b/>
                <w:bCs/>
                <w:lang w:val="en-US"/>
              </w:rPr>
              <w:t>Possible Prompt</w:t>
            </w:r>
          </w:p>
        </w:tc>
      </w:tr>
      <w:tr>
        <w:trPr/>
        <w:tc>
          <w:tcPr>
            <w:cnfStyle w:val="001000100000"/>
            <w:tcW w:w="721" w:type="dxa"/>
          </w:tcPr>
          <w:p w14:paraId="00000066">
            <w:pPr>
              <w:jc w:val="both"/>
              <w:rPr>
                <w:rFonts w:ascii="Times New Roman" w:cs="Times New Roman" w:hAnsi="Times New Roman"/>
                <w:lang w:val="en-US"/>
              </w:rPr>
            </w:pPr>
            <w:r>
              <w:rPr>
                <w:rFonts w:ascii="Times New Roman" w:cs="Times New Roman" w:hAnsi="Times New Roman"/>
                <w:lang w:val="en-US"/>
              </w:rPr>
              <w:t>I</w:t>
            </w:r>
          </w:p>
        </w:tc>
        <w:tc>
          <w:tcPr>
            <w:cnfStyle w:val="000000100000"/>
            <w:tcW w:w="3239" w:type="dxa"/>
          </w:tcPr>
          <w:p w14:paraId="00000067">
            <w:pPr>
              <w:jc w:val="both"/>
              <w:rPr>
                <w:rFonts w:ascii="Times New Roman" w:cs="Times New Roman" w:hAnsi="Times New Roman"/>
                <w:lang w:val="en-US"/>
              </w:rPr>
            </w:pPr>
            <w:r>
              <w:rPr>
                <w:rFonts w:ascii="Times New Roman" w:cs="Times New Roman" w:hAnsi="Times New Roman"/>
                <w:lang w:val="en-US"/>
              </w:rPr>
              <w:t>NLP TOOLS</w:t>
            </w:r>
          </w:p>
        </w:tc>
        <w:tc>
          <w:tcPr>
            <w:cnfStyle w:val="000000100000"/>
            <w:tcW w:w="2388" w:type="dxa"/>
          </w:tcPr>
          <w:p w14:paraId="00000068">
            <w:pPr>
              <w:jc w:val="both"/>
              <w:rPr>
                <w:rFonts w:ascii="Times New Roman" w:cs="Times New Roman" w:hAnsi="Times New Roman"/>
                <w:lang w:val="en-US"/>
              </w:rPr>
            </w:pPr>
          </w:p>
        </w:tc>
        <w:tc>
          <w:tcPr>
            <w:cnfStyle w:val="000000100000"/>
            <w:tcW w:w="2997" w:type="dxa"/>
          </w:tcPr>
          <w:p w14:paraId="00000069">
            <w:pPr>
              <w:jc w:val="both"/>
              <w:rPr>
                <w:rFonts w:ascii="Times New Roman" w:cs="Times New Roman" w:hAnsi="Times New Roman"/>
                <w:lang w:val="en-US"/>
              </w:rPr>
            </w:pPr>
            <w:r>
              <w:rPr>
                <w:rFonts w:ascii="Times New Roman" w:cs="Times New Roman" w:hAnsi="Times New Roman"/>
                <w:lang w:val="en-US"/>
              </w:rPr>
              <w:t> </w:t>
            </w:r>
          </w:p>
        </w:tc>
      </w:tr>
      <w:tr>
        <w:trPr/>
        <w:tc>
          <w:tcPr>
            <w:cnfStyle w:val="001000010000"/>
            <w:tcW w:w="721" w:type="dxa"/>
          </w:tcPr>
          <w:p w14:paraId="0000006A">
            <w:pPr>
              <w:jc w:val="both"/>
              <w:rPr>
                <w:rFonts w:ascii="Times New Roman" w:cs="Times New Roman" w:hAnsi="Times New Roman"/>
                <w:lang w:val="en-US"/>
              </w:rPr>
            </w:pPr>
            <w:r>
              <w:rPr>
                <w:rFonts w:ascii="Times New Roman" w:cs="Times New Roman" w:hAnsi="Times New Roman"/>
                <w:lang w:val="en-US"/>
              </w:rPr>
              <w:t>1</w:t>
            </w:r>
          </w:p>
        </w:tc>
        <w:tc>
          <w:tcPr>
            <w:cnfStyle w:val="000000010000"/>
            <w:tcW w:w="3239" w:type="dxa"/>
          </w:tcPr>
          <w:p w14:paraId="0000006B">
            <w:pPr>
              <w:jc w:val="both"/>
              <w:rPr>
                <w:rFonts w:ascii="Times New Roman" w:cs="Times New Roman" w:hAnsi="Times New Roman"/>
                <w:lang w:val="en-US"/>
              </w:rPr>
            </w:pPr>
            <w:r>
              <w:rPr>
                <w:rFonts w:ascii="Times New Roman" w:cs="Times New Roman" w:hAnsi="Times New Roman"/>
                <w:lang w:val="en-US"/>
              </w:rPr>
              <w:t>Tokenization</w:t>
            </w:r>
          </w:p>
        </w:tc>
        <w:tc>
          <w:tcPr>
            <w:cnfStyle w:val="000000010000"/>
            <w:tcW w:w="2388" w:type="dxa"/>
          </w:tcPr>
          <w:p w14:paraId="0000006C">
            <w:pPr>
              <w:jc w:val="both"/>
              <w:rPr>
                <w:rFonts w:ascii="Times New Roman" w:cs="Times New Roman" w:hAnsi="Times New Roman"/>
              </w:rPr>
            </w:pPr>
            <w:r>
              <w:rPr>
                <w:rFonts w:ascii="Times New Roman" w:cs="Times New Roman" w:hAnsi="Times New Roman"/>
                <w:lang w:val="en-US"/>
              </w:rPr>
              <w:t>Words/Sentences/Texts</w:t>
            </w:r>
          </w:p>
        </w:tc>
        <w:tc>
          <w:tcPr>
            <w:cnfStyle w:val="000000010000"/>
            <w:tcW w:w="2997" w:type="dxa"/>
          </w:tcPr>
          <w:p w14:paraId="0000006D">
            <w:pPr>
              <w:jc w:val="both"/>
              <w:rPr>
                <w:rFonts w:ascii="Times New Roman" w:cs="Times New Roman" w:hAnsi="Times New Roman"/>
                <w:lang w:val="en-US"/>
              </w:rPr>
            </w:pPr>
            <w:r>
              <w:rPr>
                <w:rFonts w:ascii="Times New Roman" w:cs="Times New Roman" w:hAnsi="Times New Roman"/>
                <w:lang w:val="en-US"/>
              </w:rPr>
              <w:t>What is a possible way to tokenize the word+ W (…)?</w:t>
            </w:r>
          </w:p>
        </w:tc>
      </w:tr>
      <w:tr>
        <w:trPr/>
        <w:tc>
          <w:tcPr>
            <w:cnfStyle w:val="001000100000"/>
            <w:tcW w:w="721" w:type="dxa"/>
          </w:tcPr>
          <w:p w14:paraId="0000006E">
            <w:pPr>
              <w:jc w:val="both"/>
              <w:rPr>
                <w:rFonts w:ascii="Times New Roman" w:cs="Times New Roman" w:hAnsi="Times New Roman"/>
                <w:lang w:val="en-US"/>
              </w:rPr>
            </w:pPr>
            <w:r>
              <w:rPr>
                <w:rFonts w:ascii="Times New Roman" w:cs="Times New Roman" w:hAnsi="Times New Roman"/>
                <w:lang w:val="en-US"/>
              </w:rPr>
              <w:t>2</w:t>
            </w:r>
          </w:p>
        </w:tc>
        <w:tc>
          <w:tcPr>
            <w:cnfStyle w:val="000000100000"/>
            <w:tcW w:w="3239" w:type="dxa"/>
          </w:tcPr>
          <w:p w14:paraId="0000006F">
            <w:pPr>
              <w:jc w:val="both"/>
              <w:rPr>
                <w:rFonts w:ascii="Times New Roman" w:cs="Times New Roman" w:hAnsi="Times New Roman"/>
                <w:lang w:val="en-US"/>
              </w:rPr>
            </w:pPr>
            <w:r>
              <w:rPr>
                <w:rFonts w:ascii="Times New Roman" w:cs="Times New Roman" w:hAnsi="Times New Roman"/>
              </w:rPr>
              <w:t>Stemming</w:t>
            </w:r>
            <w:r>
              <w:rPr>
                <w:rFonts w:ascii="Times New Roman" w:cs="Times New Roman" w:hAnsi="Times New Roman"/>
                <w:lang w:val="en-US"/>
              </w:rPr>
              <w:t>/Lemmatization</w:t>
            </w:r>
          </w:p>
        </w:tc>
        <w:tc>
          <w:tcPr>
            <w:cnfStyle w:val="000000100000"/>
            <w:tcW w:w="2388" w:type="dxa"/>
          </w:tcPr>
          <w:p w14:paraId="00000070">
            <w:pPr>
              <w:jc w:val="both"/>
              <w:rPr>
                <w:rFonts w:ascii="Times New Roman" w:cs="Times New Roman" w:hAnsi="Times New Roman"/>
                <w:lang w:val="en-US"/>
              </w:rPr>
            </w:pPr>
            <w:r>
              <w:rPr>
                <w:rFonts w:ascii="Times New Roman" w:cs="Times New Roman" w:hAnsi="Times New Roman"/>
                <w:lang w:val="en-US"/>
              </w:rPr>
              <w:t>Set of words</w:t>
            </w:r>
          </w:p>
        </w:tc>
        <w:tc>
          <w:tcPr>
            <w:cnfStyle w:val="000000100000"/>
            <w:tcW w:w="2997" w:type="dxa"/>
          </w:tcPr>
          <w:p w14:paraId="00000071">
            <w:pPr>
              <w:jc w:val="both"/>
              <w:rPr>
                <w:rFonts w:ascii="Times New Roman" w:cs="Times New Roman" w:hAnsi="Times New Roman"/>
                <w:lang w:val="en-US"/>
              </w:rPr>
            </w:pPr>
            <w:r>
              <w:rPr>
                <w:rFonts w:ascii="Times New Roman" w:cs="Times New Roman" w:hAnsi="Times New Roman"/>
                <w:lang w:val="en-US"/>
              </w:rPr>
              <w:t>Can you demonstrate what words are liable for stemming and what words are liable only to lemmatization (and why)?</w:t>
            </w:r>
          </w:p>
        </w:tc>
      </w:tr>
      <w:tr>
        <w:trPr/>
        <w:tc>
          <w:tcPr>
            <w:cnfStyle w:val="001000010000"/>
            <w:tcW w:w="721" w:type="dxa"/>
          </w:tcPr>
          <w:p w14:paraId="00000072">
            <w:pPr>
              <w:jc w:val="both"/>
              <w:rPr>
                <w:rFonts w:ascii="Times New Roman" w:cs="Times New Roman" w:hAnsi="Times New Roman"/>
                <w:lang w:val="en-US"/>
              </w:rPr>
            </w:pPr>
            <w:r>
              <w:rPr>
                <w:rFonts w:ascii="Times New Roman" w:cs="Times New Roman" w:hAnsi="Times New Roman"/>
                <w:lang w:val="en-US"/>
              </w:rPr>
              <w:t>3</w:t>
            </w:r>
          </w:p>
        </w:tc>
        <w:tc>
          <w:tcPr>
            <w:cnfStyle w:val="000000010000"/>
            <w:tcW w:w="3239" w:type="dxa"/>
          </w:tcPr>
          <w:p w14:paraId="00000073">
            <w:pPr>
              <w:jc w:val="both"/>
              <w:rPr>
                <w:rFonts w:ascii="Times New Roman" w:cs="Times New Roman" w:hAnsi="Times New Roman"/>
                <w:lang w:val="en-US"/>
              </w:rPr>
            </w:pPr>
            <w:r>
              <w:rPr>
                <w:rFonts w:ascii="Times New Roman" w:cs="Times New Roman" w:hAnsi="Times New Roman"/>
                <w:lang w:val="en-US"/>
              </w:rPr>
              <w:t>Parsing</w:t>
            </w:r>
          </w:p>
        </w:tc>
        <w:tc>
          <w:tcPr>
            <w:cnfStyle w:val="000000010000"/>
            <w:tcW w:w="2388" w:type="dxa"/>
          </w:tcPr>
          <w:p w14:paraId="00000074">
            <w:pPr>
              <w:jc w:val="both"/>
              <w:rPr>
                <w:rFonts w:ascii="Times New Roman" w:cs="Times New Roman" w:hAnsi="Times New Roman"/>
                <w:lang w:val="en-US"/>
              </w:rPr>
            </w:pPr>
            <w:r>
              <w:rPr>
                <w:rFonts w:ascii="Times New Roman" w:cs="Times New Roman" w:hAnsi="Times New Roman"/>
                <w:lang w:val="en-US"/>
              </w:rPr>
              <w:t>Texts</w:t>
            </w:r>
          </w:p>
        </w:tc>
        <w:tc>
          <w:tcPr>
            <w:cnfStyle w:val="000000010000"/>
            <w:tcW w:w="2997" w:type="dxa"/>
          </w:tcPr>
          <w:p w14:paraId="00000075">
            <w:pPr>
              <w:jc w:val="both"/>
              <w:rPr>
                <w:rFonts w:ascii="Times New Roman" w:cs="Times New Roman" w:hAnsi="Times New Roman"/>
                <w:lang w:val="en-US"/>
              </w:rPr>
            </w:pPr>
            <w:r>
              <w:rPr>
                <w:rFonts w:ascii="Times New Roman" w:cs="Times New Roman" w:hAnsi="Times New Roman"/>
                <w:lang w:val="en-US"/>
              </w:rPr>
              <w:t>Can you parse the following text (insert your text)?</w:t>
            </w:r>
          </w:p>
        </w:tc>
      </w:tr>
      <w:tr>
        <w:trPr/>
        <w:tc>
          <w:tcPr>
            <w:cnfStyle w:val="001000100000"/>
            <w:tcW w:w="721" w:type="dxa"/>
          </w:tcPr>
          <w:p w14:paraId="00000076">
            <w:pPr>
              <w:jc w:val="both"/>
              <w:rPr>
                <w:rFonts w:ascii="Times New Roman" w:cs="Times New Roman" w:hAnsi="Times New Roman"/>
                <w:lang w:val="en-US"/>
              </w:rPr>
            </w:pPr>
            <w:r>
              <w:rPr>
                <w:rFonts w:ascii="Times New Roman" w:cs="Times New Roman" w:hAnsi="Times New Roman"/>
                <w:lang w:val="en-US"/>
              </w:rPr>
              <w:t>4</w:t>
            </w:r>
          </w:p>
        </w:tc>
        <w:tc>
          <w:tcPr>
            <w:cnfStyle w:val="000000100000"/>
            <w:tcW w:w="3239" w:type="dxa"/>
          </w:tcPr>
          <w:p w14:paraId="00000077">
            <w:pPr>
              <w:jc w:val="both"/>
              <w:rPr>
                <w:rFonts w:ascii="Times New Roman" w:cs="Times New Roman" w:hAnsi="Times New Roman"/>
                <w:lang w:val="en-US"/>
              </w:rPr>
            </w:pPr>
            <w:r>
              <w:rPr>
                <w:rFonts w:ascii="Times New Roman" w:cs="Times New Roman" w:hAnsi="Times New Roman"/>
                <w:lang w:val="en-US"/>
              </w:rPr>
              <w:t>Part of speech tagging (</w:t>
            </w:r>
            <w:r>
              <w:rPr>
                <w:rFonts w:ascii="Times New Roman" w:cs="Times New Roman" w:hAnsi="Times New Roman"/>
                <w:lang w:val="en-US"/>
              </w:rPr>
              <w:t>PoS</w:t>
            </w:r>
            <w:r>
              <w:rPr>
                <w:rFonts w:ascii="Times New Roman" w:cs="Times New Roman" w:hAnsi="Times New Roman"/>
                <w:lang w:val="en-US"/>
              </w:rPr>
              <w:t>)</w:t>
            </w:r>
          </w:p>
        </w:tc>
        <w:tc>
          <w:tcPr>
            <w:cnfStyle w:val="000000100000"/>
            <w:tcW w:w="2388" w:type="dxa"/>
          </w:tcPr>
          <w:p w14:paraId="00000078">
            <w:pPr>
              <w:jc w:val="both"/>
              <w:rPr>
                <w:rFonts w:ascii="Times New Roman" w:cs="Times New Roman" w:hAnsi="Times New Roman"/>
                <w:lang w:val="en-US"/>
              </w:rPr>
            </w:pPr>
            <w:r>
              <w:rPr>
                <w:rFonts w:ascii="Times New Roman" w:cs="Times New Roman" w:hAnsi="Times New Roman"/>
                <w:lang w:val="en-US"/>
              </w:rPr>
              <w:t>Texts</w:t>
            </w:r>
          </w:p>
        </w:tc>
        <w:tc>
          <w:tcPr>
            <w:cnfStyle w:val="000000100000"/>
            <w:tcW w:w="2997" w:type="dxa"/>
          </w:tcPr>
          <w:p w14:paraId="00000079">
            <w:pPr>
              <w:jc w:val="both"/>
              <w:rPr>
                <w:rFonts w:ascii="Times New Roman" w:cs="Times New Roman" w:hAnsi="Times New Roman"/>
                <w:lang w:val="en-US"/>
              </w:rPr>
            </w:pPr>
            <w:r>
              <w:rPr>
                <w:rFonts w:ascii="Times New Roman" w:cs="Times New Roman" w:hAnsi="Times New Roman"/>
                <w:lang w:val="en-US"/>
              </w:rPr>
              <w:t xml:space="preserve">Will you kindly perform </w:t>
            </w:r>
            <w:r>
              <w:rPr>
                <w:rFonts w:ascii="Times New Roman" w:cs="Times New Roman" w:hAnsi="Times New Roman"/>
                <w:lang w:val="en-US"/>
              </w:rPr>
              <w:t>PoS</w:t>
            </w:r>
            <w:r>
              <w:rPr>
                <w:rFonts w:ascii="Times New Roman" w:cs="Times New Roman" w:hAnsi="Times New Roman"/>
                <w:lang w:val="en-US"/>
              </w:rPr>
              <w:t xml:space="preserve"> tagging of this text (insert your text)?</w:t>
            </w:r>
          </w:p>
        </w:tc>
      </w:tr>
      <w:tr>
        <w:trPr/>
        <w:tc>
          <w:tcPr>
            <w:cnfStyle w:val="001000010000"/>
            <w:tcW w:w="721" w:type="dxa"/>
          </w:tcPr>
          <w:p w14:paraId="0000007A">
            <w:pPr>
              <w:jc w:val="both"/>
              <w:rPr>
                <w:rFonts w:ascii="Times New Roman" w:cs="Times New Roman" w:hAnsi="Times New Roman"/>
                <w:lang w:val="en-US"/>
              </w:rPr>
            </w:pPr>
            <w:r>
              <w:rPr>
                <w:rFonts w:ascii="Times New Roman" w:cs="Times New Roman" w:hAnsi="Times New Roman"/>
                <w:lang w:val="en-US"/>
              </w:rPr>
              <w:t>5</w:t>
            </w:r>
          </w:p>
        </w:tc>
        <w:tc>
          <w:tcPr>
            <w:cnfStyle w:val="000000010000"/>
            <w:tcW w:w="3239" w:type="dxa"/>
          </w:tcPr>
          <w:p w14:paraId="0000007B">
            <w:pPr>
              <w:jc w:val="both"/>
              <w:rPr>
                <w:rFonts w:ascii="Times New Roman" w:cs="Times New Roman" w:hAnsi="Times New Roman"/>
                <w:lang w:val="en-US"/>
              </w:rPr>
            </w:pPr>
            <w:r>
              <w:rPr>
                <w:rFonts w:ascii="Times New Roman" w:cs="Times New Roman" w:hAnsi="Times New Roman"/>
                <w:lang w:val="en-US"/>
              </w:rPr>
              <w:t>Sentiment Analysis</w:t>
            </w:r>
          </w:p>
        </w:tc>
        <w:tc>
          <w:tcPr>
            <w:cnfStyle w:val="000000010000"/>
            <w:tcW w:w="2388" w:type="dxa"/>
          </w:tcPr>
          <w:p w14:paraId="0000007C">
            <w:pPr>
              <w:jc w:val="both"/>
              <w:rPr>
                <w:rFonts w:ascii="Times New Roman" w:cs="Times New Roman" w:hAnsi="Times New Roman"/>
                <w:lang w:val="en-US"/>
              </w:rPr>
            </w:pPr>
            <w:r>
              <w:rPr>
                <w:rFonts w:ascii="Times New Roman" w:cs="Times New Roman" w:hAnsi="Times New Roman"/>
                <w:lang w:val="en-US"/>
              </w:rPr>
              <w:t>Text(s)</w:t>
            </w:r>
          </w:p>
        </w:tc>
        <w:tc>
          <w:tcPr>
            <w:cnfStyle w:val="000000010000"/>
            <w:tcW w:w="2997" w:type="dxa"/>
          </w:tcPr>
          <w:p w14:paraId="0000007D">
            <w:pPr>
              <w:jc w:val="both"/>
              <w:rPr>
                <w:rFonts w:ascii="Times New Roman" w:cs="Times New Roman" w:hAnsi="Times New Roman"/>
                <w:lang w:val="en-US"/>
              </w:rPr>
            </w:pPr>
            <w:r>
              <w:rPr>
                <w:rFonts w:ascii="Times New Roman" w:cs="Times New Roman" w:hAnsi="Times New Roman"/>
                <w:lang w:val="en-US"/>
              </w:rPr>
              <w:t>Will you kindly perform the Sentiment Analysis of these comments (INSERT COMMENTS)?</w:t>
            </w:r>
          </w:p>
        </w:tc>
      </w:tr>
      <w:tr>
        <w:trPr/>
        <w:tc>
          <w:tcPr>
            <w:cnfStyle w:val="001000100000"/>
            <w:tcW w:w="721" w:type="dxa"/>
          </w:tcPr>
          <w:p w14:paraId="0000007E">
            <w:pPr>
              <w:jc w:val="both"/>
              <w:rPr>
                <w:rFonts w:ascii="Times New Roman" w:cs="Times New Roman" w:hAnsi="Times New Roman"/>
                <w:lang w:val="en-US"/>
              </w:rPr>
            </w:pPr>
            <w:r>
              <w:rPr>
                <w:rFonts w:ascii="Times New Roman" w:cs="Times New Roman" w:hAnsi="Times New Roman"/>
                <w:lang w:val="en-US"/>
              </w:rPr>
              <w:t>6</w:t>
            </w:r>
          </w:p>
        </w:tc>
        <w:tc>
          <w:tcPr>
            <w:cnfStyle w:val="000000100000"/>
            <w:tcW w:w="3239" w:type="dxa"/>
          </w:tcPr>
          <w:p w14:paraId="0000007F">
            <w:pPr>
              <w:jc w:val="both"/>
              <w:rPr>
                <w:rFonts w:ascii="Times New Roman" w:cs="Times New Roman" w:hAnsi="Times New Roman"/>
                <w:lang w:val="en-US"/>
              </w:rPr>
            </w:pPr>
            <w:r>
              <w:rPr>
                <w:rFonts w:ascii="Times New Roman" w:cs="Times New Roman" w:hAnsi="Times New Roman"/>
                <w:lang w:val="en-US"/>
              </w:rPr>
              <w:t>Text type definition</w:t>
            </w:r>
          </w:p>
        </w:tc>
        <w:tc>
          <w:tcPr>
            <w:cnfStyle w:val="000000100000"/>
            <w:tcW w:w="2388" w:type="dxa"/>
          </w:tcPr>
          <w:p w14:paraId="00000080">
            <w:pPr>
              <w:jc w:val="both"/>
              <w:rPr>
                <w:rFonts w:ascii="Times New Roman" w:cs="Times New Roman" w:hAnsi="Times New Roman"/>
                <w:lang w:val="en-US"/>
              </w:rPr>
            </w:pPr>
            <w:r>
              <w:rPr>
                <w:rFonts w:ascii="Times New Roman" w:cs="Times New Roman" w:hAnsi="Times New Roman"/>
                <w:lang w:val="en-US"/>
              </w:rPr>
              <w:t>Text</w:t>
            </w:r>
          </w:p>
        </w:tc>
        <w:tc>
          <w:tcPr>
            <w:cnfStyle w:val="000000100000"/>
            <w:tcW w:w="2997" w:type="dxa"/>
          </w:tcPr>
          <w:p w14:paraId="00000081">
            <w:pPr>
              <w:jc w:val="both"/>
              <w:rPr>
                <w:rFonts w:ascii="Times New Roman" w:cs="Times New Roman" w:hAnsi="Times New Roman"/>
                <w:lang w:val="en-US"/>
              </w:rPr>
            </w:pPr>
            <w:r>
              <w:rPr>
                <w:rFonts w:ascii="Times New Roman" w:cs="Times New Roman" w:hAnsi="Times New Roman"/>
                <w:lang w:val="en-US"/>
              </w:rPr>
              <w:t>Will you kindly define this text type (insert)?</w:t>
            </w:r>
          </w:p>
        </w:tc>
      </w:tr>
      <w:tr>
        <w:trPr/>
        <w:tc>
          <w:tcPr>
            <w:cnfStyle w:val="001000010000"/>
            <w:tcW w:w="721" w:type="dxa"/>
          </w:tcPr>
          <w:p w14:paraId="00000082">
            <w:pPr>
              <w:jc w:val="both"/>
              <w:rPr>
                <w:rFonts w:ascii="Times New Roman" w:cs="Times New Roman" w:hAnsi="Times New Roman"/>
                <w:lang w:val="en-US"/>
              </w:rPr>
            </w:pPr>
            <w:r>
              <w:rPr>
                <w:rFonts w:ascii="Times New Roman" w:cs="Times New Roman" w:hAnsi="Times New Roman"/>
                <w:lang w:val="en-US"/>
              </w:rPr>
              <w:t>II</w:t>
            </w:r>
          </w:p>
        </w:tc>
        <w:tc>
          <w:tcPr>
            <w:cnfStyle w:val="000000010000"/>
            <w:tcW w:w="3239" w:type="dxa"/>
          </w:tcPr>
          <w:p w14:paraId="00000083">
            <w:pPr>
              <w:jc w:val="both"/>
              <w:rPr>
                <w:rFonts w:ascii="Times New Roman" w:cs="Times New Roman" w:hAnsi="Times New Roman"/>
                <w:lang w:val="en-US"/>
              </w:rPr>
            </w:pPr>
            <w:r>
              <w:rPr>
                <w:rFonts w:ascii="Times New Roman" w:cs="Times New Roman" w:hAnsi="Times New Roman"/>
                <w:lang w:val="en-US"/>
              </w:rPr>
              <w:t>TRANSFORMER TOOLS</w:t>
            </w:r>
          </w:p>
        </w:tc>
        <w:tc>
          <w:tcPr>
            <w:cnfStyle w:val="000000010000"/>
            <w:tcW w:w="2388" w:type="dxa"/>
          </w:tcPr>
          <w:p w14:paraId="00000084">
            <w:pPr>
              <w:jc w:val="both"/>
              <w:rPr>
                <w:rFonts w:ascii="Times New Roman" w:cs="Times New Roman" w:hAnsi="Times New Roman"/>
                <w:lang w:val="en-US"/>
              </w:rPr>
            </w:pPr>
          </w:p>
        </w:tc>
        <w:tc>
          <w:tcPr>
            <w:cnfStyle w:val="000000010000"/>
            <w:tcW w:w="2997" w:type="dxa"/>
          </w:tcPr>
          <w:p w14:paraId="00000085">
            <w:pPr>
              <w:jc w:val="both"/>
              <w:rPr>
                <w:rFonts w:ascii="Times New Roman" w:cs="Times New Roman" w:hAnsi="Times New Roman"/>
                <w:lang w:val="en-US"/>
              </w:rPr>
            </w:pPr>
          </w:p>
        </w:tc>
      </w:tr>
      <w:tr>
        <w:trPr/>
        <w:tc>
          <w:tcPr>
            <w:cnfStyle w:val="001000100000"/>
            <w:tcW w:w="721" w:type="dxa"/>
          </w:tcPr>
          <w:p w14:paraId="00000086">
            <w:pPr>
              <w:jc w:val="both"/>
              <w:rPr>
                <w:rFonts w:ascii="Times New Roman" w:cs="Times New Roman" w:hAnsi="Times New Roman"/>
                <w:lang w:val="en-US"/>
              </w:rPr>
            </w:pPr>
            <w:r>
              <w:rPr>
                <w:rFonts w:ascii="Times New Roman" w:cs="Times New Roman" w:hAnsi="Times New Roman"/>
                <w:lang w:val="en-US"/>
              </w:rPr>
              <w:t>7/8/9</w:t>
            </w:r>
          </w:p>
        </w:tc>
        <w:tc>
          <w:tcPr>
            <w:cnfStyle w:val="000000100000"/>
            <w:tcW w:w="3239" w:type="dxa"/>
          </w:tcPr>
          <w:p w14:paraId="00000087">
            <w:pPr>
              <w:jc w:val="both"/>
              <w:rPr>
                <w:rFonts w:ascii="Times New Roman" w:cs="Times New Roman" w:hAnsi="Times New Roman"/>
                <w:lang w:val="en-US"/>
              </w:rPr>
            </w:pPr>
            <w:r>
              <w:rPr>
                <w:rFonts w:ascii="Times New Roman" w:cs="Times New Roman" w:hAnsi="Times New Roman"/>
                <w:lang w:val="en-US"/>
              </w:rPr>
              <w:t>Attention</w:t>
            </w:r>
          </w:p>
          <w:p w14:paraId="00000088">
            <w:pPr>
              <w:jc w:val="both"/>
              <w:rPr>
                <w:rFonts w:ascii="Times New Roman" w:cs="Times New Roman" w:hAnsi="Times New Roman"/>
                <w:lang w:val="en-US"/>
              </w:rPr>
            </w:pPr>
            <w:r>
              <w:rPr>
                <w:rFonts w:ascii="Times New Roman" w:cs="Times New Roman" w:hAnsi="Times New Roman"/>
                <w:lang w:val="en-US"/>
              </w:rPr>
              <w:t>/self-attention</w:t>
            </w:r>
          </w:p>
          <w:p w14:paraId="00000089">
            <w:pPr>
              <w:jc w:val="both"/>
              <w:rPr>
                <w:rFonts w:ascii="Times New Roman" w:cs="Times New Roman" w:hAnsi="Times New Roman"/>
                <w:lang w:val="en-US"/>
              </w:rPr>
            </w:pPr>
            <w:r>
              <w:rPr>
                <w:rFonts w:ascii="Times New Roman" w:cs="Times New Roman" w:hAnsi="Times New Roman"/>
                <w:lang w:val="en-US"/>
              </w:rPr>
              <w:t>/multiheaded attention</w:t>
            </w:r>
          </w:p>
        </w:tc>
        <w:tc>
          <w:tcPr>
            <w:cnfStyle w:val="000000100000"/>
            <w:tcW w:w="2388" w:type="dxa"/>
          </w:tcPr>
          <w:p w14:paraId="0000008A">
            <w:pPr>
              <w:jc w:val="both"/>
              <w:rPr>
                <w:rFonts w:ascii="Times New Roman" w:cs="Times New Roman" w:hAnsi="Times New Roman"/>
                <w:lang w:val="en-US"/>
              </w:rPr>
            </w:pPr>
            <w:r>
              <w:rPr>
                <w:rFonts w:ascii="Times New Roman" w:cs="Times New Roman" w:hAnsi="Times New Roman"/>
                <w:lang w:val="en-US"/>
              </w:rPr>
              <w:t xml:space="preserve">Sentence/Text </w:t>
            </w:r>
          </w:p>
        </w:tc>
        <w:tc>
          <w:tcPr>
            <w:cnfStyle w:val="000000100000"/>
            <w:tcW w:w="2997" w:type="dxa"/>
          </w:tcPr>
          <w:p w14:paraId="0000008B">
            <w:pPr>
              <w:jc w:val="both"/>
              <w:rPr>
                <w:rFonts w:ascii="Times New Roman" w:cs="Times New Roman" w:hAnsi="Times New Roman"/>
                <w:lang w:val="en-US"/>
              </w:rPr>
            </w:pPr>
            <w:r>
              <w:rPr>
                <w:rFonts w:ascii="Times New Roman" w:cs="Times New Roman" w:hAnsi="Times New Roman"/>
                <w:lang w:val="en-US"/>
              </w:rPr>
              <w:t>Can you demonstrate how attention/self-attention/multiheaded attention works upon this sentence/text (insert your text or sentence) ?.</w:t>
            </w:r>
          </w:p>
        </w:tc>
      </w:tr>
      <w:tr>
        <w:trPr/>
        <w:tc>
          <w:tcPr>
            <w:cnfStyle w:val="001000010000"/>
            <w:tcW w:w="721" w:type="dxa"/>
          </w:tcPr>
          <w:p w14:paraId="0000008C">
            <w:pPr>
              <w:jc w:val="both"/>
              <w:rPr>
                <w:rFonts w:ascii="Times New Roman" w:cs="Times New Roman" w:hAnsi="Times New Roman"/>
                <w:lang w:val="en-US"/>
              </w:rPr>
            </w:pPr>
            <w:r>
              <w:rPr>
                <w:rFonts w:ascii="Times New Roman" w:cs="Times New Roman" w:hAnsi="Times New Roman"/>
                <w:lang w:val="en-US"/>
              </w:rPr>
              <w:t>III</w:t>
            </w:r>
          </w:p>
        </w:tc>
        <w:tc>
          <w:tcPr>
            <w:cnfStyle w:val="000000010000"/>
            <w:tcW w:w="3239" w:type="dxa"/>
          </w:tcPr>
          <w:p w14:paraId="0000008D">
            <w:pPr>
              <w:jc w:val="both"/>
              <w:rPr>
                <w:rFonts w:ascii="Times New Roman" w:cs="Times New Roman" w:hAnsi="Times New Roman"/>
                <w:lang w:val="en-US"/>
              </w:rPr>
            </w:pPr>
            <w:r>
              <w:rPr>
                <w:rFonts w:ascii="Times New Roman" w:cs="Times New Roman" w:hAnsi="Times New Roman"/>
                <w:lang w:val="en-US"/>
              </w:rPr>
              <w:t>REASONING MODELS TOOLS</w:t>
            </w:r>
          </w:p>
        </w:tc>
        <w:tc>
          <w:tcPr>
            <w:cnfStyle w:val="000000010000"/>
            <w:tcW w:w="2388" w:type="dxa"/>
          </w:tcPr>
          <w:p w14:paraId="0000008E">
            <w:pPr>
              <w:jc w:val="both"/>
              <w:rPr>
                <w:rFonts w:ascii="Times New Roman" w:cs="Times New Roman" w:hAnsi="Times New Roman"/>
                <w:lang w:val="en-US"/>
              </w:rPr>
            </w:pPr>
          </w:p>
        </w:tc>
        <w:tc>
          <w:tcPr>
            <w:cnfStyle w:val="000000010000"/>
            <w:tcW w:w="2997" w:type="dxa"/>
          </w:tcPr>
          <w:p w14:paraId="0000008F">
            <w:pPr>
              <w:jc w:val="both"/>
              <w:rPr>
                <w:rFonts w:ascii="Times New Roman" w:cs="Times New Roman" w:hAnsi="Times New Roman"/>
                <w:lang w:val="en-US"/>
              </w:rPr>
            </w:pPr>
          </w:p>
        </w:tc>
      </w:tr>
      <w:tr>
        <w:trPr/>
        <w:tc>
          <w:tcPr>
            <w:cnfStyle w:val="001000100000"/>
            <w:tcW w:w="721" w:type="dxa"/>
          </w:tcPr>
          <w:p w14:paraId="00000090">
            <w:pPr>
              <w:jc w:val="both"/>
              <w:rPr>
                <w:rFonts w:ascii="Times New Roman" w:cs="Times New Roman" w:hAnsi="Times New Roman"/>
                <w:lang w:val="en-US"/>
              </w:rPr>
            </w:pPr>
            <w:r>
              <w:rPr>
                <w:rFonts w:ascii="Times New Roman" w:cs="Times New Roman" w:hAnsi="Times New Roman"/>
                <w:lang w:val="en-US"/>
              </w:rPr>
              <w:t>10</w:t>
            </w:r>
          </w:p>
        </w:tc>
        <w:tc>
          <w:tcPr>
            <w:cnfStyle w:val="000000100000"/>
            <w:tcW w:w="3239" w:type="dxa"/>
          </w:tcPr>
          <w:p w14:paraId="00000091">
            <w:pPr>
              <w:jc w:val="both"/>
              <w:rPr>
                <w:rFonts w:ascii="Times New Roman" w:cs="Times New Roman" w:hAnsi="Times New Roman"/>
                <w:lang w:val="en-US"/>
              </w:rPr>
            </w:pPr>
            <w:r>
              <w:rPr>
                <w:rFonts w:ascii="Times New Roman" w:cs="Times New Roman" w:hAnsi="Times New Roman"/>
                <w:lang w:val="en-US"/>
              </w:rPr>
              <w:t>Rule-based reasoning</w:t>
            </w:r>
          </w:p>
        </w:tc>
        <w:tc>
          <w:tcPr>
            <w:cnfStyle w:val="000000100000"/>
            <w:tcW w:w="2388" w:type="dxa"/>
          </w:tcPr>
          <w:p w14:paraId="00000092">
            <w:pPr>
              <w:jc w:val="both"/>
              <w:rPr>
                <w:rFonts w:ascii="Times New Roman" w:cs="Times New Roman" w:hAnsi="Times New Roman"/>
                <w:lang w:val="en-US"/>
              </w:rPr>
            </w:pPr>
            <w:r>
              <w:rPr>
                <w:rFonts w:ascii="Times New Roman" w:cs="Times New Roman" w:hAnsi="Times New Roman"/>
                <w:lang w:val="en-US"/>
              </w:rPr>
              <w:t>Text</w:t>
            </w:r>
          </w:p>
        </w:tc>
        <w:tc>
          <w:tcPr>
            <w:cnfStyle w:val="000000100000"/>
            <w:tcW w:w="2997" w:type="dxa"/>
          </w:tcPr>
          <w:p w14:paraId="00000093">
            <w:pPr>
              <w:jc w:val="both"/>
              <w:rPr>
                <w:rFonts w:ascii="Times New Roman" w:cs="Times New Roman" w:hAnsi="Times New Roman"/>
                <w:lang w:val="en-US"/>
              </w:rPr>
            </w:pPr>
            <w:r>
              <w:rPr>
                <w:rFonts w:ascii="Times New Roman" w:cs="Times New Roman" w:hAnsi="Times New Roman"/>
                <w:lang w:val="en-US"/>
              </w:rPr>
              <w:t>Can you demonstrate how rule-based reasoning works upon this text (insert your text)?</w:t>
            </w:r>
          </w:p>
          <w:p w14:paraId="00000094">
            <w:pPr>
              <w:jc w:val="both"/>
              <w:rPr>
                <w:rFonts w:ascii="Times New Roman" w:cs="Times New Roman" w:hAnsi="Times New Roman"/>
                <w:lang w:val="en-US"/>
              </w:rPr>
            </w:pPr>
          </w:p>
        </w:tc>
      </w:tr>
      <w:tr>
        <w:trPr/>
        <w:tc>
          <w:tcPr>
            <w:cnfStyle w:val="001000010000"/>
            <w:tcW w:w="721" w:type="dxa"/>
          </w:tcPr>
          <w:p w14:paraId="00000095">
            <w:pPr>
              <w:jc w:val="both"/>
              <w:rPr>
                <w:rFonts w:ascii="Times New Roman" w:cs="Times New Roman" w:hAnsi="Times New Roman"/>
                <w:lang w:val="en-US"/>
              </w:rPr>
            </w:pPr>
            <w:r>
              <w:rPr>
                <w:rFonts w:ascii="Times New Roman" w:cs="Times New Roman" w:hAnsi="Times New Roman"/>
                <w:lang w:val="en-US"/>
              </w:rPr>
              <w:t>11</w:t>
            </w:r>
          </w:p>
        </w:tc>
        <w:tc>
          <w:tcPr>
            <w:cnfStyle w:val="000000010000"/>
            <w:tcW w:w="3239" w:type="dxa"/>
          </w:tcPr>
          <w:p w14:paraId="00000096">
            <w:pPr>
              <w:jc w:val="both"/>
              <w:rPr>
                <w:rFonts w:ascii="Times New Roman" w:cs="Times New Roman" w:hAnsi="Times New Roman"/>
                <w:lang w:val="en-US"/>
              </w:rPr>
            </w:pPr>
            <w:r>
              <w:rPr>
                <w:rFonts w:ascii="Times New Roman" w:cs="Times New Roman" w:hAnsi="Times New Roman"/>
                <w:lang w:val="en-US"/>
              </w:rPr>
              <w:t>Chain-of-thought</w:t>
            </w:r>
          </w:p>
        </w:tc>
        <w:tc>
          <w:tcPr>
            <w:cnfStyle w:val="000000010000"/>
            <w:tcW w:w="2388" w:type="dxa"/>
          </w:tcPr>
          <w:p w14:paraId="00000097">
            <w:pPr>
              <w:jc w:val="both"/>
              <w:rPr>
                <w:rFonts w:ascii="Times New Roman" w:cs="Times New Roman" w:hAnsi="Times New Roman"/>
                <w:lang w:val="en-US"/>
              </w:rPr>
            </w:pPr>
            <w:r>
              <w:rPr>
                <w:rFonts w:ascii="Times New Roman" w:cs="Times New Roman" w:hAnsi="Times New Roman"/>
                <w:lang w:val="en-US"/>
              </w:rPr>
              <w:t>Text</w:t>
            </w:r>
          </w:p>
        </w:tc>
        <w:tc>
          <w:tcPr>
            <w:cnfStyle w:val="000000010000"/>
            <w:tcW w:w="2997" w:type="dxa"/>
          </w:tcPr>
          <w:p w14:paraId="00000098">
            <w:pPr>
              <w:jc w:val="both"/>
              <w:rPr>
                <w:rFonts w:ascii="Times New Roman" w:cs="Times New Roman" w:hAnsi="Times New Roman"/>
                <w:lang w:val="en-US"/>
              </w:rPr>
            </w:pPr>
            <w:r>
              <w:rPr>
                <w:rFonts w:ascii="Times New Roman" w:cs="Times New Roman" w:hAnsi="Times New Roman"/>
                <w:lang w:val="en-US"/>
              </w:rPr>
              <w:t>Can you outline the chain of thought of this text (insert)?</w:t>
            </w:r>
          </w:p>
          <w:p w14:paraId="00000099">
            <w:pPr>
              <w:jc w:val="both"/>
              <w:rPr>
                <w:rFonts w:ascii="Times New Roman" w:cs="Times New Roman" w:hAnsi="Times New Roman"/>
                <w:lang w:val="en-US"/>
              </w:rPr>
            </w:pPr>
          </w:p>
        </w:tc>
      </w:tr>
      <w:tr>
        <w:trPr/>
        <w:tc>
          <w:tcPr>
            <w:cnfStyle w:val="001000100000"/>
            <w:tcW w:w="721" w:type="dxa"/>
          </w:tcPr>
          <w:p w14:paraId="0000009A">
            <w:pPr>
              <w:jc w:val="both"/>
              <w:rPr>
                <w:rFonts w:ascii="Times New Roman" w:cs="Times New Roman" w:hAnsi="Times New Roman"/>
                <w:lang w:val="en-US"/>
              </w:rPr>
            </w:pPr>
            <w:r>
              <w:rPr>
                <w:rFonts w:ascii="Times New Roman" w:cs="Times New Roman" w:hAnsi="Times New Roman"/>
                <w:lang w:val="en-US"/>
              </w:rPr>
              <w:t>12</w:t>
            </w:r>
          </w:p>
        </w:tc>
        <w:tc>
          <w:tcPr>
            <w:cnfStyle w:val="000000100000"/>
            <w:tcW w:w="3239" w:type="dxa"/>
          </w:tcPr>
          <w:p w14:paraId="0000009B">
            <w:pPr>
              <w:jc w:val="both"/>
              <w:rPr>
                <w:rFonts w:ascii="Times New Roman" w:cs="Times New Roman" w:hAnsi="Times New Roman"/>
                <w:lang w:val="en-US"/>
              </w:rPr>
            </w:pPr>
            <w:r>
              <w:rPr>
                <w:rFonts w:ascii="Times New Roman" w:cs="Times New Roman" w:hAnsi="Times New Roman"/>
                <w:lang w:val="en-US"/>
              </w:rPr>
              <w:t>Knowledge graphs</w:t>
            </w:r>
          </w:p>
        </w:tc>
        <w:tc>
          <w:tcPr>
            <w:cnfStyle w:val="000000100000"/>
            <w:tcW w:w="2388" w:type="dxa"/>
          </w:tcPr>
          <w:p w14:paraId="0000009C">
            <w:pPr>
              <w:jc w:val="both"/>
              <w:rPr>
                <w:rFonts w:ascii="Times New Roman" w:cs="Times New Roman" w:hAnsi="Times New Roman"/>
                <w:lang w:val="en-US"/>
              </w:rPr>
            </w:pPr>
            <w:r>
              <w:rPr>
                <w:rFonts w:ascii="Times New Roman" w:cs="Times New Roman" w:hAnsi="Times New Roman"/>
                <w:lang w:val="en-US"/>
              </w:rPr>
              <w:t>Text</w:t>
            </w:r>
          </w:p>
        </w:tc>
        <w:tc>
          <w:tcPr>
            <w:cnfStyle w:val="000000100000"/>
            <w:tcW w:w="2997" w:type="dxa"/>
          </w:tcPr>
          <w:p w14:paraId="0000009D">
            <w:pPr>
              <w:jc w:val="both"/>
              <w:rPr>
                <w:rFonts w:ascii="Times New Roman" w:cs="Times New Roman" w:hAnsi="Times New Roman"/>
                <w:lang w:val="en-US"/>
              </w:rPr>
            </w:pPr>
            <w:r>
              <w:rPr>
                <w:rFonts w:ascii="Times New Roman" w:cs="Times New Roman" w:hAnsi="Times New Roman"/>
                <w:lang w:val="en-US"/>
              </w:rPr>
              <w:t>Will you construct knowledge graph (s) of this text (insert your text)?</w:t>
            </w:r>
          </w:p>
          <w:p w14:paraId="0000009E">
            <w:pPr>
              <w:jc w:val="both"/>
              <w:rPr>
                <w:rFonts w:ascii="Times New Roman" w:cs="Times New Roman" w:hAnsi="Times New Roman"/>
                <w:lang w:val="en-US"/>
              </w:rPr>
            </w:pPr>
          </w:p>
        </w:tc>
      </w:tr>
    </w:tbl>
    <w:p w14:paraId="0000009F">
      <w:pPr>
        <w:spacing w:line="360" w:lineRule="auto"/>
        <w:jc w:val="right"/>
        <w:rPr>
          <w:rFonts w:ascii="Times New Roman" w:cs="Times New Roman" w:hAnsi="Times New Roman"/>
          <w:sz w:val="28"/>
          <w:szCs w:val="28"/>
          <w:lang w:val="en-US"/>
        </w:rPr>
      </w:pPr>
      <w:r>
        <w:rPr>
          <w:rStyle w:val="Footnotereference"/>
          <w:rFonts w:ascii="Times New Roman" w:cs="Times New Roman" w:hAnsi="Times New Roman"/>
          <w:sz w:val="28"/>
          <w:szCs w:val="28"/>
          <w:lang w:val="en-US"/>
        </w:rPr>
        <w:footnoteReference w:id="2"/>
      </w:r>
    </w:p>
    <w:p w14:paraId="000000A0">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Основной целью стал поиск инструментов комплексной обработки текста как по внутриструктурным параметрам, так и по семантическим компонентам, что помогло бы объективизировать множественность интерпретации.</w:t>
      </w:r>
    </w:p>
    <w:p w14:paraId="000000A1">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Апробация проводилась в рамках курса</w:t>
      </w:r>
      <w:bookmarkStart w:id="1" w:name="_Hlk214562232"/>
      <w:r>
        <w:rPr>
          <w:rFonts w:ascii="Times New Roman" w:cs="Times New Roman" w:hAnsi="Times New Roman"/>
          <w:sz w:val="28"/>
          <w:szCs w:val="28"/>
        </w:rPr>
        <w:t xml:space="preserve"> "</w:t>
      </w:r>
      <w:bookmarkEnd w:id="1"/>
      <w:r>
        <w:rPr>
          <w:rFonts w:ascii="Times New Roman" w:cs="Times New Roman" w:hAnsi="Times New Roman"/>
          <w:sz w:val="28"/>
          <w:szCs w:val="28"/>
        </w:rPr>
        <w:t xml:space="preserve">Языковые модели" для магистрантов по прикладной лингвистике. Курс преподается на английском языке с привлечением при необходимости русского языка. В ходе курса сами лингвистические модели детально разбирались во время лекций, на семинарах студентам предлагалось проверить объяснительный или генеративный потенциал этих моделей при использовании </w:t>
      </w:r>
      <w:r>
        <w:rPr>
          <w:rFonts w:ascii="Times New Roman" w:cs="Times New Roman" w:hAnsi="Times New Roman"/>
          <w:sz w:val="28"/>
          <w:szCs w:val="28"/>
        </w:rPr>
        <w:t>Б</w:t>
      </w:r>
      <w:r>
        <w:rPr>
          <w:rFonts w:ascii="Times New Roman" w:cs="Times New Roman" w:hAnsi="Times New Roman"/>
          <w:sz w:val="28"/>
          <w:szCs w:val="28"/>
        </w:rPr>
        <w:t>ольших языковых моделей.</w:t>
      </w:r>
    </w:p>
    <w:p w14:paraId="000000A2">
      <w:pPr>
        <w:spacing w:line="360" w:lineRule="auto"/>
        <w:jc w:val="both"/>
        <w:rPr>
          <w:rFonts w:ascii="Times New Roman" w:cs="Times New Roman" w:hAnsi="Times New Roman"/>
          <w:sz w:val="28"/>
          <w:szCs w:val="28"/>
        </w:rPr>
      </w:pPr>
      <w:r>
        <w:rPr>
          <w:rFonts w:ascii="Times New Roman" w:cs="Times New Roman" w:hAnsi="Times New Roman"/>
          <w:sz w:val="28"/>
          <w:szCs w:val="28"/>
        </w:rPr>
        <w:t>ОБЗОР ЛИТЕРАТУРЫ</w:t>
      </w:r>
    </w:p>
    <w:p w14:paraId="000000A3">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 xml:space="preserve">Книга Д. </w:t>
      </w:r>
      <w:r>
        <w:rPr>
          <w:rFonts w:ascii="Times New Roman" w:cs="Times New Roman" w:hAnsi="Times New Roman"/>
          <w:sz w:val="28"/>
          <w:szCs w:val="28"/>
        </w:rPr>
        <w:t>Чэндлера</w:t>
      </w:r>
      <w:r>
        <w:rPr>
          <w:rFonts w:ascii="Times New Roman" w:cs="Times New Roman" w:hAnsi="Times New Roman"/>
          <w:sz w:val="28"/>
          <w:szCs w:val="28"/>
        </w:rPr>
        <w:t xml:space="preserve"> "</w:t>
      </w:r>
      <w:r>
        <w:rPr>
          <w:rFonts w:ascii="Times New Roman" w:cs="Times New Roman" w:hAnsi="Times New Roman"/>
          <w:sz w:val="28"/>
          <w:szCs w:val="28"/>
        </w:rPr>
        <w:t>Semiotics</w:t>
      </w:r>
      <w:r>
        <w:rPr>
          <w:rFonts w:ascii="Times New Roman" w:cs="Times New Roman" w:hAnsi="Times New Roman"/>
          <w:sz w:val="28"/>
          <w:szCs w:val="28"/>
        </w:rPr>
        <w:t xml:space="preserve"> </w:t>
      </w:r>
      <w:r>
        <w:rPr>
          <w:rFonts w:ascii="Times New Roman" w:cs="Times New Roman" w:hAnsi="Times New Roman"/>
          <w:sz w:val="28"/>
          <w:szCs w:val="28"/>
        </w:rPr>
        <w:t>for</w:t>
      </w:r>
      <w:r>
        <w:rPr>
          <w:rFonts w:ascii="Times New Roman" w:cs="Times New Roman" w:hAnsi="Times New Roman"/>
          <w:sz w:val="28"/>
          <w:szCs w:val="28"/>
        </w:rPr>
        <w:t xml:space="preserve"> </w:t>
      </w:r>
      <w:r>
        <w:rPr>
          <w:rFonts w:ascii="Times New Roman" w:cs="Times New Roman" w:hAnsi="Times New Roman"/>
          <w:sz w:val="28"/>
          <w:szCs w:val="28"/>
        </w:rPr>
        <w:t>Beginners</w:t>
      </w:r>
      <w:r>
        <w:rPr>
          <w:rFonts w:ascii="Times New Roman" w:cs="Times New Roman" w:hAnsi="Times New Roman"/>
          <w:sz w:val="28"/>
          <w:szCs w:val="28"/>
        </w:rPr>
        <w:t>"</w:t>
      </w:r>
      <w:r>
        <w:rPr>
          <w:rStyle w:val="Footnotereference"/>
          <w:rFonts w:ascii="Times New Roman" w:cs="Times New Roman" w:hAnsi="Times New Roman"/>
          <w:sz w:val="28"/>
          <w:szCs w:val="28"/>
        </w:rPr>
        <w:footnoteReference w:id="3"/>
      </w:r>
      <w:r>
        <w:rPr>
          <w:rFonts w:ascii="Times New Roman" w:cs="Times New Roman" w:hAnsi="Times New Roman"/>
          <w:sz w:val="28"/>
          <w:szCs w:val="28"/>
        </w:rPr>
        <w:t xml:space="preserve">  была выбрана в качестве пособия для студентов, поскольку в ней наиболее концентрировано представлены основные позиции и основная полемика касательно современных подходов к теории знака, кода, </w:t>
      </w:r>
      <w:r>
        <w:rPr>
          <w:rFonts w:ascii="Times New Roman" w:cs="Times New Roman" w:hAnsi="Times New Roman"/>
          <w:sz w:val="28"/>
          <w:szCs w:val="28"/>
        </w:rPr>
        <w:t>семиозиса</w:t>
      </w:r>
      <w:r>
        <w:rPr>
          <w:rFonts w:ascii="Times New Roman" w:cs="Times New Roman" w:hAnsi="Times New Roman"/>
          <w:sz w:val="28"/>
          <w:szCs w:val="28"/>
        </w:rPr>
        <w:t xml:space="preserve">, метафоры, жанра, а </w:t>
      </w:r>
      <w:r>
        <w:rPr>
          <w:rFonts w:ascii="Times New Roman" w:cs="Times New Roman" w:hAnsi="Times New Roman"/>
          <w:sz w:val="28"/>
          <w:szCs w:val="28"/>
        </w:rPr>
        <w:t>также интертекста. Кроме того, она доступна в электронном виде в очень удобном для использования интерфейсе, как на языке оригинала, так и в переводе.</w:t>
      </w:r>
    </w:p>
    <w:p w14:paraId="000000A4">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Второй книгой, предложенной студентам для изучения, стала "</w:t>
      </w:r>
      <w:r>
        <w:rPr>
          <w:rFonts w:ascii="Times New Roman" w:cs="Times New Roman" w:hAnsi="Times New Roman"/>
          <w:sz w:val="28"/>
          <w:szCs w:val="28"/>
        </w:rPr>
        <w:t>Introduction</w:t>
      </w:r>
      <w:r>
        <w:rPr>
          <w:rFonts w:ascii="Times New Roman" w:cs="Times New Roman" w:hAnsi="Times New Roman"/>
          <w:sz w:val="28"/>
          <w:szCs w:val="28"/>
        </w:rPr>
        <w:t xml:space="preserve"> </w:t>
      </w:r>
      <w:r>
        <w:rPr>
          <w:rFonts w:ascii="Times New Roman" w:cs="Times New Roman" w:hAnsi="Times New Roman"/>
          <w:sz w:val="28"/>
          <w:szCs w:val="28"/>
        </w:rPr>
        <w:t>to</w:t>
      </w:r>
      <w:r>
        <w:rPr>
          <w:rFonts w:ascii="Times New Roman" w:cs="Times New Roman" w:hAnsi="Times New Roman"/>
          <w:sz w:val="28"/>
          <w:szCs w:val="28"/>
        </w:rPr>
        <w:t xml:space="preserve"> </w:t>
      </w:r>
      <w:r>
        <w:rPr>
          <w:rFonts w:ascii="Times New Roman" w:cs="Times New Roman" w:hAnsi="Times New Roman"/>
          <w:sz w:val="28"/>
          <w:szCs w:val="28"/>
        </w:rPr>
        <w:t>text</w:t>
      </w:r>
      <w:r>
        <w:rPr>
          <w:rFonts w:ascii="Times New Roman" w:cs="Times New Roman" w:hAnsi="Times New Roman"/>
          <w:sz w:val="28"/>
          <w:szCs w:val="28"/>
        </w:rPr>
        <w:t xml:space="preserve"> </w:t>
      </w:r>
      <w:r>
        <w:rPr>
          <w:rFonts w:ascii="Times New Roman" w:cs="Times New Roman" w:hAnsi="Times New Roman"/>
          <w:sz w:val="28"/>
          <w:szCs w:val="28"/>
        </w:rPr>
        <w:t>linguistics</w:t>
      </w:r>
      <w:r>
        <w:rPr>
          <w:rFonts w:ascii="Times New Roman" w:cs="Times New Roman" w:hAnsi="Times New Roman"/>
          <w:sz w:val="28"/>
          <w:szCs w:val="28"/>
        </w:rPr>
        <w:t xml:space="preserve">" Р. де </w:t>
      </w:r>
      <w:r>
        <w:rPr>
          <w:rFonts w:ascii="Times New Roman" w:cs="Times New Roman" w:hAnsi="Times New Roman"/>
          <w:sz w:val="28"/>
          <w:szCs w:val="28"/>
        </w:rPr>
        <w:t>Богранда</w:t>
      </w:r>
      <w:r>
        <w:rPr>
          <w:rFonts w:ascii="Times New Roman" w:cs="Times New Roman" w:hAnsi="Times New Roman"/>
          <w:sz w:val="28"/>
          <w:szCs w:val="28"/>
        </w:rPr>
        <w:t xml:space="preserve"> и В. </w:t>
      </w:r>
      <w:r>
        <w:rPr>
          <w:rFonts w:ascii="Times New Roman" w:cs="Times New Roman" w:hAnsi="Times New Roman"/>
          <w:sz w:val="28"/>
          <w:szCs w:val="28"/>
        </w:rPr>
        <w:t>Дресслера</w:t>
      </w:r>
      <w:r>
        <w:rPr>
          <w:rStyle w:val="Footnotereference"/>
          <w:rFonts w:ascii="Times New Roman" w:cs="Times New Roman" w:hAnsi="Times New Roman"/>
          <w:sz w:val="28"/>
          <w:szCs w:val="28"/>
        </w:rPr>
        <w:footnoteReference w:id="4"/>
      </w:r>
      <w:r>
        <w:rPr>
          <w:rFonts w:ascii="Times New Roman" w:cs="Times New Roman" w:hAnsi="Times New Roman"/>
          <w:sz w:val="28"/>
          <w:szCs w:val="28"/>
        </w:rPr>
        <w:t>, которая характеризуется как "</w:t>
      </w:r>
      <w:r>
        <w:rPr>
          <w:rFonts w:ascii="Times New Roman" w:cs="Times New Roman" w:hAnsi="Times New Roman"/>
          <w:sz w:val="28"/>
          <w:szCs w:val="28"/>
        </w:rPr>
        <w:t>seminal</w:t>
      </w:r>
      <w:r>
        <w:rPr>
          <w:rFonts w:ascii="Times New Roman" w:cs="Times New Roman" w:hAnsi="Times New Roman"/>
          <w:sz w:val="28"/>
          <w:szCs w:val="28"/>
        </w:rPr>
        <w:t xml:space="preserve">" (с высокой степенью цитируемости). Основным фокусом для изучения стали семантические типы текста (нарратив, описание, аргументация, инструкция и сравнение), а также семь стандартов текстуальности (когезия, когерентность, </w:t>
      </w:r>
      <w:r>
        <w:rPr>
          <w:rFonts w:ascii="Times New Roman" w:cs="Times New Roman" w:hAnsi="Times New Roman"/>
          <w:sz w:val="28"/>
          <w:szCs w:val="28"/>
        </w:rPr>
        <w:t>интенциональность</w:t>
      </w:r>
      <w:r>
        <w:rPr>
          <w:rFonts w:ascii="Times New Roman" w:cs="Times New Roman" w:hAnsi="Times New Roman"/>
          <w:sz w:val="28"/>
          <w:szCs w:val="28"/>
        </w:rPr>
        <w:t>, воспринимаемость, информативность, ситуативность, интертекстуальность). Эти параметры были выбраны для "экспертного" анализа текстов, предварительно обработанных при помощи инструментов NLP.</w:t>
      </w:r>
    </w:p>
    <w:p w14:paraId="000000A5">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 xml:space="preserve">При демонстрации моделью DeepSeekR1 того, каким образом работает механизм </w:t>
      </w:r>
      <w:r>
        <w:rPr>
          <w:rFonts w:ascii="Times New Roman" w:cs="Times New Roman" w:hAnsi="Times New Roman"/>
          <w:sz w:val="28"/>
          <w:szCs w:val="28"/>
        </w:rPr>
        <w:t>самовнимания трансформера</w:t>
      </w:r>
      <w:r>
        <w:rPr>
          <w:rFonts w:ascii="Times New Roman" w:cs="Times New Roman" w:hAnsi="Times New Roman"/>
          <w:sz w:val="28"/>
          <w:szCs w:val="28"/>
        </w:rPr>
        <w:t xml:space="preserve"> (</w:t>
      </w:r>
      <w:r>
        <w:rPr>
          <w:rFonts w:ascii="Times New Roman" w:cs="Times New Roman" w:hAnsi="Times New Roman"/>
          <w:sz w:val="28"/>
          <w:szCs w:val="28"/>
          <w:lang w:val="en-US"/>
        </w:rPr>
        <w:t>s</w:t>
      </w:r>
      <w:r>
        <w:rPr>
          <w:rFonts w:ascii="Times New Roman" w:cs="Times New Roman" w:hAnsi="Times New Roman"/>
          <w:sz w:val="28"/>
          <w:szCs w:val="28"/>
        </w:rPr>
        <w:t>elf-</w:t>
      </w:r>
      <w:r>
        <w:rPr>
          <w:rFonts w:ascii="Times New Roman" w:cs="Times New Roman" w:hAnsi="Times New Roman"/>
          <w:sz w:val="28"/>
          <w:szCs w:val="28"/>
          <w:lang w:val="en-US"/>
        </w:rPr>
        <w:t>a</w:t>
      </w:r>
      <w:r>
        <w:rPr>
          <w:rFonts w:ascii="Times New Roman" w:cs="Times New Roman" w:hAnsi="Times New Roman"/>
          <w:sz w:val="28"/>
          <w:szCs w:val="28"/>
        </w:rPr>
        <w:t>ttention)</w:t>
      </w:r>
      <w:r>
        <w:rPr>
          <w:rFonts w:ascii="Times New Roman" w:cs="Times New Roman" w:hAnsi="Times New Roman"/>
          <w:sz w:val="28"/>
          <w:szCs w:val="28"/>
        </w:rPr>
        <w:t xml:space="preserve"> на примере 23 сонета Шекспира, мы проследили, что модель фиксирует практически все значения слов зависящими от контекста, то есть "отложенными". Мы увидели в этом механизме своеобразную валидацию теории деконструктивизма Жака Деррида об отложенном значении. Другой инструмент, уже из рассуждающего сектора, граф знаний (</w:t>
      </w:r>
      <w:r>
        <w:rPr>
          <w:rFonts w:ascii="Times New Roman" w:cs="Times New Roman" w:hAnsi="Times New Roman"/>
          <w:sz w:val="28"/>
          <w:szCs w:val="28"/>
        </w:rPr>
        <w:t>knowledge</w:t>
      </w:r>
      <w:r>
        <w:rPr>
          <w:rFonts w:ascii="Times New Roman" w:cs="Times New Roman" w:hAnsi="Times New Roman"/>
          <w:sz w:val="28"/>
          <w:szCs w:val="28"/>
        </w:rPr>
        <w:t xml:space="preserve"> </w:t>
      </w:r>
      <w:r>
        <w:rPr>
          <w:rFonts w:ascii="Times New Roman" w:cs="Times New Roman" w:hAnsi="Times New Roman"/>
          <w:sz w:val="28"/>
          <w:szCs w:val="28"/>
        </w:rPr>
        <w:t>graph)</w:t>
      </w:r>
      <w:r>
        <w:rPr>
          <w:rFonts w:ascii="Times New Roman" w:cs="Times New Roman" w:hAnsi="Times New Roman"/>
          <w:sz w:val="28"/>
          <w:szCs w:val="28"/>
        </w:rPr>
        <w:t xml:space="preserve">, чья архитектура базируется на оппозициях, привёл к заключению о реализации </w:t>
      </w:r>
      <w:r>
        <w:rPr>
          <w:rFonts w:ascii="Times New Roman" w:cs="Times New Roman" w:hAnsi="Times New Roman"/>
          <w:sz w:val="28"/>
          <w:szCs w:val="28"/>
        </w:rPr>
        <w:t>дерридианского</w:t>
      </w:r>
      <w:r>
        <w:rPr>
          <w:rFonts w:ascii="Times New Roman" w:cs="Times New Roman" w:hAnsi="Times New Roman"/>
          <w:sz w:val="28"/>
          <w:szCs w:val="28"/>
        </w:rPr>
        <w:t xml:space="preserve"> принципа одновременного сходства и различия (</w:t>
      </w:r>
      <w:r>
        <w:rPr>
          <w:rFonts w:ascii="Times New Roman" w:cs="Times New Roman" w:hAnsi="Times New Roman"/>
          <w:sz w:val="28"/>
          <w:szCs w:val="28"/>
        </w:rPr>
        <w:t>différance)</w:t>
      </w:r>
      <w:r>
        <w:rPr>
          <w:rFonts w:ascii="Times New Roman" w:cs="Times New Roman" w:hAnsi="Times New Roman"/>
          <w:sz w:val="28"/>
          <w:szCs w:val="28"/>
        </w:rPr>
        <w:t>. Мы обратились к полемическим работам, которые классифицируются как "</w:t>
      </w:r>
      <w:r>
        <w:rPr>
          <w:rFonts w:ascii="Times New Roman" w:cs="Times New Roman" w:hAnsi="Times New Roman"/>
          <w:sz w:val="28"/>
          <w:szCs w:val="28"/>
        </w:rPr>
        <w:t>Searle</w:t>
      </w:r>
      <w:r>
        <w:rPr>
          <w:rFonts w:ascii="Times New Roman" w:cs="Times New Roman" w:hAnsi="Times New Roman"/>
          <w:sz w:val="28"/>
          <w:szCs w:val="28"/>
        </w:rPr>
        <w:t>/</w:t>
      </w:r>
      <w:r>
        <w:rPr>
          <w:rFonts w:ascii="Times New Roman" w:cs="Times New Roman" w:hAnsi="Times New Roman"/>
          <w:sz w:val="28"/>
          <w:szCs w:val="28"/>
        </w:rPr>
        <w:t>Derrida</w:t>
      </w:r>
      <w:r>
        <w:rPr>
          <w:rFonts w:ascii="Times New Roman" w:cs="Times New Roman" w:hAnsi="Times New Roman"/>
          <w:sz w:val="28"/>
          <w:szCs w:val="28"/>
        </w:rPr>
        <w:t xml:space="preserve"> </w:t>
      </w:r>
      <w:r>
        <w:rPr>
          <w:rFonts w:ascii="Times New Roman" w:cs="Times New Roman" w:hAnsi="Times New Roman"/>
          <w:sz w:val="28"/>
          <w:szCs w:val="28"/>
        </w:rPr>
        <w:t>Debate</w:t>
      </w:r>
      <w:r>
        <w:rPr>
          <w:rFonts w:ascii="Times New Roman" w:cs="Times New Roman" w:hAnsi="Times New Roman"/>
          <w:sz w:val="28"/>
          <w:szCs w:val="28"/>
        </w:rPr>
        <w:t>"</w:t>
      </w:r>
      <w:r>
        <w:rPr>
          <w:rStyle w:val="Footnotereference"/>
          <w:rFonts w:ascii="Times New Roman" w:cs="Times New Roman" w:hAnsi="Times New Roman"/>
          <w:sz w:val="28"/>
          <w:szCs w:val="28"/>
        </w:rPr>
        <w:footnoteReference w:id="5"/>
      </w:r>
      <w:r>
        <w:rPr>
          <w:rFonts w:ascii="Times New Roman" w:cs="Times New Roman" w:hAnsi="Times New Roman"/>
          <w:sz w:val="28"/>
          <w:szCs w:val="28"/>
        </w:rPr>
        <w:t>.</w:t>
      </w:r>
      <w:r>
        <w:rPr>
          <w:rFonts w:ascii="Times New Roman" w:cs="Times New Roman" w:hAnsi="Times New Roman"/>
          <w:color w:val="222222"/>
          <w:sz w:val="28"/>
          <w:szCs w:val="28"/>
          <w:shd w:val="clear" w:color="auto" w:fill="ffffff"/>
        </w:rPr>
        <w:t xml:space="preserve"> </w:t>
      </w:r>
      <w:r>
        <w:rPr>
          <w:rFonts w:ascii="Times New Roman" w:cs="Times New Roman" w:hAnsi="Times New Roman"/>
          <w:sz w:val="28"/>
          <w:szCs w:val="28"/>
        </w:rPr>
        <w:t xml:space="preserve">Эти дебаты никогда </w:t>
      </w:r>
      <w:r>
        <w:rPr>
          <w:rFonts w:ascii="Times New Roman" w:cs="Times New Roman" w:hAnsi="Times New Roman"/>
          <w:sz w:val="28"/>
          <w:szCs w:val="28"/>
        </w:rPr>
        <w:t>не были очными, а нашли воплощение в ряде публикаций. Триггером стали работы британского лингвиста и философа Дж. Остина "</w:t>
      </w:r>
      <w:r>
        <w:rPr>
          <w:rFonts w:ascii="Times New Roman" w:cs="Times New Roman" w:hAnsi="Times New Roman"/>
          <w:sz w:val="28"/>
          <w:szCs w:val="28"/>
          <w:lang w:val="en-US"/>
        </w:rPr>
        <w:t>How</w:t>
      </w:r>
      <w:r>
        <w:rPr>
          <w:rFonts w:ascii="Times New Roman" w:cs="Times New Roman" w:hAnsi="Times New Roman"/>
          <w:sz w:val="28"/>
          <w:szCs w:val="28"/>
        </w:rPr>
        <w:t xml:space="preserve"> </w:t>
      </w:r>
      <w:r>
        <w:rPr>
          <w:rFonts w:ascii="Times New Roman" w:cs="Times New Roman" w:hAnsi="Times New Roman"/>
          <w:sz w:val="28"/>
          <w:szCs w:val="28"/>
          <w:lang w:val="en-US"/>
        </w:rPr>
        <w:t>to</w:t>
      </w:r>
      <w:r>
        <w:rPr>
          <w:rFonts w:ascii="Times New Roman" w:cs="Times New Roman" w:hAnsi="Times New Roman"/>
          <w:sz w:val="28"/>
          <w:szCs w:val="28"/>
        </w:rPr>
        <w:t xml:space="preserve"> </w:t>
      </w:r>
      <w:r>
        <w:rPr>
          <w:rFonts w:ascii="Times New Roman" w:cs="Times New Roman" w:hAnsi="Times New Roman"/>
          <w:sz w:val="28"/>
          <w:szCs w:val="28"/>
        </w:rPr>
        <w:t>do</w:t>
      </w:r>
      <w:r>
        <w:rPr>
          <w:rFonts w:ascii="Times New Roman" w:cs="Times New Roman" w:hAnsi="Times New Roman"/>
          <w:sz w:val="28"/>
          <w:szCs w:val="28"/>
        </w:rPr>
        <w:t xml:space="preserve"> </w:t>
      </w:r>
      <w:r>
        <w:rPr>
          <w:rFonts w:ascii="Times New Roman" w:cs="Times New Roman" w:hAnsi="Times New Roman"/>
          <w:sz w:val="28"/>
          <w:szCs w:val="28"/>
          <w:lang w:val="en-US"/>
        </w:rPr>
        <w:t>things</w:t>
      </w:r>
      <w:r>
        <w:rPr>
          <w:rFonts w:ascii="Times New Roman" w:cs="Times New Roman" w:hAnsi="Times New Roman"/>
          <w:sz w:val="28"/>
          <w:szCs w:val="28"/>
        </w:rPr>
        <w:t xml:space="preserve"> </w:t>
      </w:r>
      <w:r>
        <w:rPr>
          <w:rFonts w:ascii="Times New Roman" w:cs="Times New Roman" w:hAnsi="Times New Roman"/>
          <w:sz w:val="28"/>
          <w:szCs w:val="28"/>
        </w:rPr>
        <w:t>with</w:t>
      </w:r>
      <w:r>
        <w:rPr>
          <w:rFonts w:ascii="Times New Roman" w:cs="Times New Roman" w:hAnsi="Times New Roman"/>
          <w:sz w:val="28"/>
          <w:szCs w:val="28"/>
        </w:rPr>
        <w:t xml:space="preserve"> </w:t>
      </w:r>
      <w:r>
        <w:rPr>
          <w:rFonts w:ascii="Times New Roman" w:cs="Times New Roman" w:hAnsi="Times New Roman"/>
          <w:sz w:val="28"/>
          <w:szCs w:val="28"/>
        </w:rPr>
        <w:t>words</w:t>
      </w:r>
      <w:r>
        <w:rPr>
          <w:rFonts w:ascii="Times New Roman" w:cs="Times New Roman" w:hAnsi="Times New Roman"/>
          <w:sz w:val="28"/>
          <w:szCs w:val="28"/>
        </w:rPr>
        <w:t xml:space="preserve">" (1960)  и книга Дж. </w:t>
      </w:r>
      <w:r>
        <w:rPr>
          <w:rFonts w:ascii="Times New Roman" w:cs="Times New Roman" w:hAnsi="Times New Roman"/>
          <w:sz w:val="28"/>
          <w:szCs w:val="28"/>
        </w:rPr>
        <w:t>Серля</w:t>
      </w:r>
      <w:r>
        <w:rPr>
          <w:rFonts w:ascii="Times New Roman" w:cs="Times New Roman" w:hAnsi="Times New Roman"/>
          <w:sz w:val="28"/>
          <w:szCs w:val="28"/>
        </w:rPr>
        <w:t xml:space="preserve"> "</w:t>
      </w:r>
      <w:r>
        <w:rPr>
          <w:rFonts w:ascii="Times New Roman" w:cs="Times New Roman" w:hAnsi="Times New Roman"/>
          <w:sz w:val="28"/>
          <w:szCs w:val="28"/>
        </w:rPr>
        <w:t>Speech</w:t>
      </w:r>
      <w:r>
        <w:rPr>
          <w:rFonts w:ascii="Times New Roman" w:cs="Times New Roman" w:hAnsi="Times New Roman"/>
          <w:sz w:val="28"/>
          <w:szCs w:val="28"/>
        </w:rPr>
        <w:t xml:space="preserve"> ACTS", в которых Деррида воспринял критически идею о паразитарности по отношению к устному высказыванию текста, об устойчивом значении слова в речевом акте и о идущем еще от древних греков традиционном </w:t>
      </w:r>
      <w:r>
        <w:rPr>
          <w:rFonts w:ascii="Times New Roman" w:cs="Times New Roman" w:hAnsi="Times New Roman"/>
          <w:sz w:val="28"/>
          <w:szCs w:val="28"/>
        </w:rPr>
        <w:t>логоцентризме</w:t>
      </w:r>
      <w:r>
        <w:rPr>
          <w:rFonts w:ascii="Times New Roman" w:cs="Times New Roman" w:hAnsi="Times New Roman"/>
          <w:sz w:val="28"/>
          <w:szCs w:val="28"/>
        </w:rPr>
        <w:t>,  отводящем документированному высказыванию вторичную роль ["</w:t>
      </w:r>
      <w:r>
        <w:rPr>
          <w:rFonts w:ascii="Times New Roman" w:cs="Times New Roman" w:hAnsi="Times New Roman"/>
          <w:sz w:val="28"/>
          <w:szCs w:val="28"/>
          <w:lang w:val="en-US"/>
        </w:rPr>
        <w:t>Signature</w:t>
      </w:r>
      <w:r>
        <w:rPr>
          <w:rFonts w:ascii="Times New Roman" w:cs="Times New Roman" w:hAnsi="Times New Roman"/>
          <w:sz w:val="28"/>
          <w:szCs w:val="28"/>
        </w:rPr>
        <w:t xml:space="preserve"> </w:t>
      </w:r>
      <w:r>
        <w:rPr>
          <w:rFonts w:ascii="Times New Roman" w:cs="Times New Roman" w:hAnsi="Times New Roman"/>
          <w:sz w:val="28"/>
          <w:szCs w:val="28"/>
          <w:lang w:val="en-US"/>
        </w:rPr>
        <w:t>Event</w:t>
      </w:r>
      <w:r>
        <w:rPr>
          <w:rFonts w:ascii="Times New Roman" w:cs="Times New Roman" w:hAnsi="Times New Roman"/>
          <w:sz w:val="28"/>
          <w:szCs w:val="28"/>
        </w:rPr>
        <w:t xml:space="preserve"> </w:t>
      </w:r>
      <w:r>
        <w:rPr>
          <w:rFonts w:ascii="Times New Roman" w:cs="Times New Roman" w:hAnsi="Times New Roman"/>
          <w:sz w:val="28"/>
          <w:szCs w:val="28"/>
          <w:lang w:val="en-US"/>
        </w:rPr>
        <w:t>Context</w:t>
      </w:r>
      <w:r>
        <w:rPr>
          <w:rFonts w:ascii="Times New Roman" w:cs="Times New Roman" w:hAnsi="Times New Roman"/>
          <w:sz w:val="28"/>
          <w:szCs w:val="28"/>
        </w:rPr>
        <w:t xml:space="preserve">" (1972) </w:t>
      </w:r>
      <w:r>
        <w:rPr>
          <w:rFonts w:ascii="Times New Roman" w:cs="Times New Roman" w:hAnsi="Times New Roman"/>
          <w:sz w:val="28"/>
          <w:szCs w:val="28"/>
          <w:lang w:val="en-US"/>
        </w:rPr>
        <w:t>vs</w:t>
      </w:r>
      <w:r>
        <w:rPr>
          <w:rFonts w:ascii="Times New Roman" w:cs="Times New Roman" w:hAnsi="Times New Roman"/>
          <w:sz w:val="28"/>
          <w:szCs w:val="28"/>
        </w:rPr>
        <w:t xml:space="preserve"> "</w:t>
      </w:r>
      <w:r>
        <w:rPr>
          <w:rFonts w:ascii="Times New Roman" w:cs="Times New Roman" w:hAnsi="Times New Roman"/>
          <w:sz w:val="28"/>
          <w:szCs w:val="28"/>
          <w:lang w:val="en-US"/>
        </w:rPr>
        <w:t>Reiterating</w:t>
      </w:r>
      <w:r>
        <w:rPr>
          <w:rFonts w:ascii="Times New Roman" w:cs="Times New Roman" w:hAnsi="Times New Roman"/>
          <w:sz w:val="28"/>
          <w:szCs w:val="28"/>
        </w:rPr>
        <w:t xml:space="preserve"> </w:t>
      </w:r>
      <w:r>
        <w:rPr>
          <w:rFonts w:ascii="Times New Roman" w:cs="Times New Roman" w:hAnsi="Times New Roman"/>
          <w:sz w:val="28"/>
          <w:szCs w:val="28"/>
          <w:lang w:val="en-US"/>
        </w:rPr>
        <w:t>the</w:t>
      </w:r>
      <w:r>
        <w:rPr>
          <w:rFonts w:ascii="Times New Roman" w:cs="Times New Roman" w:hAnsi="Times New Roman"/>
          <w:sz w:val="28"/>
          <w:szCs w:val="28"/>
        </w:rPr>
        <w:t xml:space="preserve"> </w:t>
      </w:r>
      <w:r>
        <w:rPr>
          <w:rFonts w:ascii="Times New Roman" w:cs="Times New Roman" w:hAnsi="Times New Roman"/>
          <w:sz w:val="28"/>
          <w:szCs w:val="28"/>
          <w:lang w:val="en-US"/>
        </w:rPr>
        <w:t>Differences</w:t>
      </w:r>
      <w:r>
        <w:rPr>
          <w:rFonts w:ascii="Times New Roman" w:cs="Times New Roman" w:hAnsi="Times New Roman"/>
          <w:sz w:val="28"/>
          <w:szCs w:val="28"/>
        </w:rPr>
        <w:t>:</w:t>
      </w:r>
      <w:r>
        <w:rPr>
          <w:rFonts w:ascii="Times New Roman" w:cs="Times New Roman" w:hAnsi="Times New Roman"/>
          <w:i/>
          <w:iCs/>
          <w:sz w:val="28"/>
          <w:szCs w:val="28"/>
        </w:rPr>
        <w:t xml:space="preserve"> </w:t>
      </w:r>
      <w:r>
        <w:rPr>
          <w:rFonts w:ascii="Times New Roman" w:cs="Times New Roman" w:hAnsi="Times New Roman"/>
          <w:i/>
          <w:iCs/>
          <w:sz w:val="28"/>
          <w:szCs w:val="28"/>
          <w:lang w:val="en-US"/>
        </w:rPr>
        <w:t>A</w:t>
      </w:r>
      <w:r>
        <w:rPr>
          <w:rFonts w:ascii="Times New Roman" w:cs="Times New Roman" w:hAnsi="Times New Roman"/>
          <w:i/>
          <w:iCs/>
          <w:sz w:val="28"/>
          <w:szCs w:val="28"/>
        </w:rPr>
        <w:t xml:space="preserve"> </w:t>
      </w:r>
      <w:r>
        <w:rPr>
          <w:rFonts w:ascii="Times New Roman" w:cs="Times New Roman" w:hAnsi="Times New Roman"/>
          <w:i/>
          <w:iCs/>
          <w:sz w:val="28"/>
          <w:szCs w:val="28"/>
          <w:lang w:val="en-US"/>
        </w:rPr>
        <w:t>Reply</w:t>
      </w:r>
      <w:r>
        <w:rPr>
          <w:rFonts w:ascii="Times New Roman" w:cs="Times New Roman" w:hAnsi="Times New Roman"/>
          <w:i/>
          <w:iCs/>
          <w:sz w:val="28"/>
          <w:szCs w:val="28"/>
        </w:rPr>
        <w:t xml:space="preserve"> </w:t>
      </w:r>
      <w:r>
        <w:rPr>
          <w:rFonts w:ascii="Times New Roman" w:cs="Times New Roman" w:hAnsi="Times New Roman"/>
          <w:i/>
          <w:iCs/>
          <w:sz w:val="28"/>
          <w:szCs w:val="28"/>
          <w:lang w:val="en-US"/>
        </w:rPr>
        <w:t>to</w:t>
      </w:r>
      <w:r>
        <w:rPr>
          <w:rFonts w:ascii="Times New Roman" w:cs="Times New Roman" w:hAnsi="Times New Roman"/>
          <w:i/>
          <w:iCs/>
          <w:sz w:val="28"/>
          <w:szCs w:val="28"/>
        </w:rPr>
        <w:t xml:space="preserve"> </w:t>
      </w:r>
      <w:r>
        <w:rPr>
          <w:rFonts w:ascii="Times New Roman" w:cs="Times New Roman" w:hAnsi="Times New Roman"/>
          <w:i/>
          <w:iCs/>
          <w:sz w:val="28"/>
          <w:szCs w:val="28"/>
          <w:lang w:val="en-US"/>
        </w:rPr>
        <w:t>Derrida</w:t>
      </w:r>
      <w:r>
        <w:rPr>
          <w:rFonts w:ascii="Times New Roman" w:cs="Times New Roman" w:hAnsi="Times New Roman"/>
          <w:sz w:val="28"/>
          <w:szCs w:val="28"/>
        </w:rPr>
        <w:t>"</w:t>
      </w:r>
      <w:r>
        <w:rPr>
          <w:rFonts w:ascii="Times New Roman" w:cs="Times New Roman" w:hAnsi="Times New Roman"/>
          <w:i/>
          <w:iCs/>
          <w:sz w:val="28"/>
          <w:szCs w:val="28"/>
        </w:rPr>
        <w:t xml:space="preserve"> </w:t>
      </w:r>
      <w:r>
        <w:rPr>
          <w:rFonts w:ascii="Times New Roman" w:cs="Times New Roman" w:hAnsi="Times New Roman"/>
          <w:sz w:val="28"/>
          <w:szCs w:val="28"/>
        </w:rPr>
        <w:t>(1977)].</w:t>
      </w:r>
      <w:r>
        <w:rPr>
          <w:rFonts w:ascii="Times New Roman" w:cs="Times New Roman" w:hAnsi="Times New Roman"/>
          <w:color w:val="222222"/>
          <w:sz w:val="28"/>
          <w:szCs w:val="28"/>
          <w:shd w:val="clear" w:color="auto" w:fill="ffffff"/>
        </w:rPr>
        <w:t xml:space="preserve"> </w:t>
      </w:r>
      <w:r>
        <w:rPr>
          <w:rFonts w:ascii="Times New Roman" w:cs="Times New Roman" w:hAnsi="Times New Roman"/>
          <w:sz w:val="28"/>
          <w:szCs w:val="28"/>
        </w:rPr>
        <w:t xml:space="preserve">Столкновение позиций американской аналитической школы и континентальной философии в какой-то степени нашли разрешение в архитектуре и функционировании Больших языковых моделей, обученных на текстовых массивах, превращающих речь в текст и текст в речь при коммуникации. Фактически первичная обработка пользовательского запроса, включающаяся токенизацию, </w:t>
      </w:r>
      <w:r>
        <w:rPr>
          <w:rFonts w:ascii="Times New Roman" w:cs="Times New Roman" w:hAnsi="Times New Roman"/>
          <w:sz w:val="28"/>
          <w:szCs w:val="28"/>
        </w:rPr>
        <w:t>стемминг</w:t>
      </w:r>
      <w:r>
        <w:rPr>
          <w:rFonts w:ascii="Times New Roman" w:cs="Times New Roman" w:hAnsi="Times New Roman"/>
          <w:sz w:val="28"/>
          <w:szCs w:val="28"/>
        </w:rPr>
        <w:t xml:space="preserve">, </w:t>
      </w:r>
      <w:r>
        <w:rPr>
          <w:rFonts w:ascii="Times New Roman" w:cs="Times New Roman" w:hAnsi="Times New Roman"/>
          <w:sz w:val="28"/>
          <w:szCs w:val="28"/>
        </w:rPr>
        <w:t>лемматизацию</w:t>
      </w:r>
      <w:r>
        <w:rPr>
          <w:rFonts w:ascii="Times New Roman" w:cs="Times New Roman" w:hAnsi="Times New Roman"/>
          <w:sz w:val="28"/>
          <w:szCs w:val="28"/>
        </w:rPr>
        <w:t xml:space="preserve">, векторизацию, отражает позиции Джона </w:t>
      </w:r>
      <w:r>
        <w:rPr>
          <w:rFonts w:ascii="Times New Roman" w:cs="Times New Roman" w:hAnsi="Times New Roman"/>
          <w:sz w:val="28"/>
          <w:szCs w:val="28"/>
        </w:rPr>
        <w:t>Серля</w:t>
      </w:r>
      <w:r>
        <w:rPr>
          <w:rFonts w:ascii="Times New Roman" w:cs="Times New Roman" w:hAnsi="Times New Roman"/>
          <w:sz w:val="28"/>
          <w:szCs w:val="28"/>
        </w:rPr>
        <w:t xml:space="preserve">. Между тем, все семантические операции трансформера по декодированию смысла и дальнейшему кодированию при генерации ответа идентичны процедурам деконструкции Жака Деррида. </w:t>
      </w:r>
    </w:p>
    <w:p w14:paraId="000000A6">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Для достижения наших целей ключевой также представляется статья 2017 года "</w:t>
      </w:r>
      <w:r>
        <w:rPr>
          <w:rFonts w:ascii="Times New Roman" w:cs="Times New Roman" w:hAnsi="Times New Roman"/>
          <w:sz w:val="28"/>
          <w:szCs w:val="28"/>
        </w:rPr>
        <w:t>Attention</w:t>
      </w:r>
      <w:r>
        <w:rPr>
          <w:rFonts w:ascii="Times New Roman" w:cs="Times New Roman" w:hAnsi="Times New Roman"/>
          <w:sz w:val="28"/>
          <w:szCs w:val="28"/>
        </w:rPr>
        <w:t> </w:t>
      </w:r>
      <w:r>
        <w:rPr>
          <w:rFonts w:ascii="Times New Roman" w:cs="Times New Roman" w:hAnsi="Times New Roman"/>
          <w:sz w:val="28"/>
          <w:szCs w:val="28"/>
        </w:rPr>
        <w:t>is</w:t>
      </w:r>
      <w:r>
        <w:rPr>
          <w:rFonts w:ascii="Times New Roman" w:cs="Times New Roman" w:hAnsi="Times New Roman"/>
          <w:sz w:val="28"/>
          <w:szCs w:val="28"/>
        </w:rPr>
        <w:t xml:space="preserve"> </w:t>
      </w:r>
      <w:r>
        <w:rPr>
          <w:rFonts w:ascii="Times New Roman" w:cs="Times New Roman" w:hAnsi="Times New Roman"/>
          <w:sz w:val="28"/>
          <w:szCs w:val="28"/>
        </w:rPr>
        <w:t>all</w:t>
      </w:r>
      <w:r>
        <w:rPr>
          <w:rFonts w:ascii="Times New Roman" w:cs="Times New Roman" w:hAnsi="Times New Roman"/>
          <w:sz w:val="28"/>
          <w:szCs w:val="28"/>
        </w:rPr>
        <w:t xml:space="preserve"> </w:t>
      </w:r>
      <w:r>
        <w:rPr>
          <w:rFonts w:ascii="Times New Roman" w:cs="Times New Roman" w:hAnsi="Times New Roman"/>
          <w:sz w:val="28"/>
          <w:szCs w:val="28"/>
        </w:rPr>
        <w:t>we</w:t>
      </w:r>
      <w:r>
        <w:rPr>
          <w:rFonts w:ascii="Times New Roman" w:cs="Times New Roman" w:hAnsi="Times New Roman"/>
          <w:sz w:val="28"/>
          <w:szCs w:val="28"/>
        </w:rPr>
        <w:t xml:space="preserve"> </w:t>
      </w:r>
      <w:r>
        <w:rPr>
          <w:rFonts w:ascii="Times New Roman" w:cs="Times New Roman" w:hAnsi="Times New Roman"/>
          <w:sz w:val="28"/>
          <w:szCs w:val="28"/>
        </w:rPr>
        <w:t>need</w:t>
      </w:r>
      <w:r>
        <w:rPr>
          <w:rFonts w:ascii="Times New Roman" w:cs="Times New Roman" w:hAnsi="Times New Roman"/>
          <w:sz w:val="28"/>
          <w:szCs w:val="28"/>
        </w:rPr>
        <w:t>"</w:t>
      </w:r>
      <w:r>
        <w:rPr>
          <w:rStyle w:val="Footnotereference"/>
          <w:rFonts w:ascii="Times New Roman" w:cs="Times New Roman" w:hAnsi="Times New Roman"/>
          <w:sz w:val="28"/>
          <w:szCs w:val="28"/>
        </w:rPr>
        <w:footnoteReference w:id="6"/>
      </w:r>
      <w:r>
        <w:rPr>
          <w:rFonts w:ascii="Times New Roman" w:cs="Times New Roman" w:hAnsi="Times New Roman"/>
          <w:sz w:val="28"/>
          <w:szCs w:val="28"/>
        </w:rPr>
        <w:t>, где описываются механизмы и инструменты трансформера, направленные на извлечение значения отдельного слова и смысла всего текста из контекста, то есть "отложенного значения" на основе  совокупности таких параметров, как "</w:t>
      </w:r>
      <w:r>
        <w:rPr>
          <w:rFonts w:ascii="Times New Roman" w:cs="Times New Roman" w:hAnsi="Times New Roman"/>
          <w:sz w:val="28"/>
          <w:szCs w:val="28"/>
        </w:rPr>
        <w:t>quiery</w:t>
      </w:r>
      <w:r>
        <w:rPr>
          <w:rFonts w:ascii="Times New Roman" w:cs="Times New Roman" w:hAnsi="Times New Roman"/>
          <w:sz w:val="28"/>
          <w:szCs w:val="28"/>
        </w:rPr>
        <w:t>" (запрос), "</w:t>
      </w:r>
      <w:r>
        <w:rPr>
          <w:rFonts w:ascii="Times New Roman" w:cs="Times New Roman" w:hAnsi="Times New Roman"/>
          <w:sz w:val="28"/>
          <w:szCs w:val="28"/>
        </w:rPr>
        <w:t>key</w:t>
      </w:r>
      <w:r>
        <w:rPr>
          <w:rFonts w:ascii="Times New Roman" w:cs="Times New Roman" w:hAnsi="Times New Roman"/>
          <w:sz w:val="28"/>
          <w:szCs w:val="28"/>
        </w:rPr>
        <w:t>" (ключевой смысл), "</w:t>
      </w:r>
      <w:r>
        <w:rPr>
          <w:rFonts w:ascii="Times New Roman" w:cs="Times New Roman" w:hAnsi="Times New Roman"/>
          <w:sz w:val="28"/>
          <w:szCs w:val="28"/>
        </w:rPr>
        <w:t>value</w:t>
      </w:r>
      <w:r>
        <w:rPr>
          <w:rFonts w:ascii="Times New Roman" w:cs="Times New Roman" w:hAnsi="Times New Roman"/>
          <w:sz w:val="28"/>
          <w:szCs w:val="28"/>
        </w:rPr>
        <w:t xml:space="preserve">" (семантическая ценность). Для </w:t>
      </w:r>
      <w:r>
        <w:rPr>
          <w:rFonts w:ascii="Times New Roman" w:cs="Times New Roman" w:hAnsi="Times New Roman"/>
          <w:sz w:val="28"/>
          <w:szCs w:val="28"/>
        </w:rPr>
        <w:t>исследовательских целей были привлечены такие показавшие аналитическую эффективность инструменты, как самовнимание (</w:t>
      </w:r>
      <w:r>
        <w:rPr>
          <w:rFonts w:ascii="Times New Roman" w:cs="Times New Roman" w:hAnsi="Times New Roman"/>
          <w:sz w:val="28"/>
          <w:szCs w:val="28"/>
          <w:lang w:val="en-US"/>
        </w:rPr>
        <w:t>s</w:t>
      </w:r>
      <w:r>
        <w:rPr>
          <w:rFonts w:ascii="Times New Roman" w:cs="Times New Roman" w:hAnsi="Times New Roman"/>
          <w:sz w:val="28"/>
          <w:szCs w:val="28"/>
        </w:rPr>
        <w:t>elf-</w:t>
      </w:r>
      <w:r>
        <w:rPr>
          <w:rFonts w:ascii="Times New Roman" w:cs="Times New Roman" w:hAnsi="Times New Roman"/>
          <w:sz w:val="28"/>
          <w:szCs w:val="28"/>
          <w:lang w:val="en-US"/>
        </w:rPr>
        <w:t>a</w:t>
      </w:r>
      <w:r>
        <w:rPr>
          <w:rFonts w:ascii="Times New Roman" w:cs="Times New Roman" w:hAnsi="Times New Roman"/>
          <w:sz w:val="28"/>
          <w:szCs w:val="28"/>
        </w:rPr>
        <w:t>ttention)</w:t>
      </w:r>
      <w:r>
        <w:rPr>
          <w:rFonts w:ascii="Times New Roman" w:cs="Times New Roman" w:hAnsi="Times New Roman"/>
          <w:sz w:val="28"/>
          <w:szCs w:val="28"/>
        </w:rPr>
        <w:t xml:space="preserve"> и многоголовое внимание (</w:t>
      </w:r>
      <w:r>
        <w:rPr>
          <w:rFonts w:ascii="Times New Roman" w:cs="Times New Roman" w:hAnsi="Times New Roman"/>
          <w:sz w:val="28"/>
          <w:szCs w:val="28"/>
          <w:lang w:val="en-US"/>
        </w:rPr>
        <w:t>m</w:t>
      </w:r>
      <w:r>
        <w:rPr>
          <w:rFonts w:ascii="Times New Roman" w:cs="Times New Roman" w:hAnsi="Times New Roman"/>
          <w:sz w:val="28"/>
          <w:szCs w:val="28"/>
        </w:rPr>
        <w:t>ulti-</w:t>
      </w:r>
      <w:r>
        <w:rPr>
          <w:rFonts w:ascii="Times New Roman" w:cs="Times New Roman" w:hAnsi="Times New Roman"/>
          <w:sz w:val="28"/>
          <w:szCs w:val="28"/>
          <w:lang w:val="en-US"/>
        </w:rPr>
        <w:t>h</w:t>
      </w:r>
      <w:r>
        <w:rPr>
          <w:rFonts w:ascii="Times New Roman" w:cs="Times New Roman" w:hAnsi="Times New Roman"/>
          <w:sz w:val="28"/>
          <w:szCs w:val="28"/>
        </w:rPr>
        <w:t>ea</w:t>
      </w:r>
      <w:r>
        <w:rPr>
          <w:rFonts w:ascii="Times New Roman" w:cs="Times New Roman" w:hAnsi="Times New Roman"/>
          <w:sz w:val="28"/>
          <w:szCs w:val="28"/>
          <w:lang w:val="en-US"/>
        </w:rPr>
        <w:t>d</w:t>
      </w:r>
      <w:r>
        <w:rPr>
          <w:rFonts w:ascii="Times New Roman" w:cs="Times New Roman" w:hAnsi="Times New Roman"/>
          <w:sz w:val="28"/>
          <w:szCs w:val="28"/>
        </w:rPr>
        <w:t xml:space="preserve"> </w:t>
      </w:r>
      <w:r>
        <w:rPr>
          <w:rFonts w:ascii="Times New Roman" w:cs="Times New Roman" w:hAnsi="Times New Roman"/>
          <w:sz w:val="28"/>
          <w:szCs w:val="28"/>
          <w:lang w:val="en-US"/>
        </w:rPr>
        <w:t>a</w:t>
      </w:r>
      <w:r>
        <w:rPr>
          <w:rFonts w:ascii="Times New Roman" w:cs="Times New Roman" w:hAnsi="Times New Roman"/>
          <w:sz w:val="28"/>
          <w:szCs w:val="28"/>
        </w:rPr>
        <w:t>ttention)</w:t>
      </w:r>
      <w:r>
        <w:rPr>
          <w:rFonts w:ascii="Times New Roman" w:cs="Times New Roman" w:hAnsi="Times New Roman"/>
          <w:sz w:val="28"/>
          <w:szCs w:val="28"/>
        </w:rPr>
        <w:t>.</w:t>
      </w:r>
    </w:p>
    <w:p w14:paraId="000000A7">
      <w:pPr>
        <w:spacing w:line="360" w:lineRule="auto"/>
        <w:jc w:val="both"/>
        <w:rPr>
          <w:rFonts w:ascii="Times New Roman" w:cs="Times New Roman" w:hAnsi="Times New Roman"/>
          <w:sz w:val="28"/>
          <w:szCs w:val="28"/>
        </w:rPr>
      </w:pPr>
    </w:p>
    <w:p w14:paraId="000000A8">
      <w:pPr>
        <w:spacing w:line="360" w:lineRule="auto"/>
        <w:jc w:val="both"/>
        <w:rPr>
          <w:rFonts w:ascii="Times New Roman" w:cs="Times New Roman" w:hAnsi="Times New Roman"/>
          <w:sz w:val="28"/>
          <w:szCs w:val="28"/>
        </w:rPr>
      </w:pPr>
      <w:r>
        <w:rPr>
          <w:rFonts w:ascii="Times New Roman" w:cs="Times New Roman" w:hAnsi="Times New Roman"/>
          <w:sz w:val="28"/>
          <w:szCs w:val="28"/>
        </w:rPr>
        <w:t>МЕТОДЫ И МАТЕРИАЛЫ</w:t>
      </w:r>
    </w:p>
    <w:p w14:paraId="000000A9">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 xml:space="preserve">Комбинированный метод предлагается как в последовательном виде, так и в синтетических. Так, при имплементации моделей знака и кодов эти модели рассматривались в ходе лекции, после при изучении книги Д. </w:t>
      </w:r>
      <w:r>
        <w:rPr>
          <w:rFonts w:ascii="Times New Roman" w:cs="Times New Roman" w:hAnsi="Times New Roman"/>
          <w:sz w:val="28"/>
          <w:szCs w:val="28"/>
        </w:rPr>
        <w:t>Чэндлера</w:t>
      </w:r>
      <w:r>
        <w:rPr>
          <w:rFonts w:ascii="Times New Roman" w:cs="Times New Roman" w:hAnsi="Times New Roman"/>
          <w:sz w:val="28"/>
          <w:szCs w:val="28"/>
        </w:rPr>
        <w:t xml:space="preserve"> "</w:t>
      </w:r>
      <w:r>
        <w:rPr>
          <w:rFonts w:ascii="Times New Roman" w:cs="Times New Roman" w:hAnsi="Times New Roman"/>
          <w:sz w:val="28"/>
          <w:szCs w:val="28"/>
        </w:rPr>
        <w:t>Semiotic</w:t>
      </w:r>
      <w:r>
        <w:rPr>
          <w:rFonts w:ascii="Times New Roman" w:cs="Times New Roman" w:hAnsi="Times New Roman"/>
          <w:sz w:val="28"/>
          <w:szCs w:val="28"/>
        </w:rPr>
        <w:t xml:space="preserve"> </w:t>
      </w:r>
      <w:r>
        <w:rPr>
          <w:rFonts w:ascii="Times New Roman" w:cs="Times New Roman" w:hAnsi="Times New Roman"/>
          <w:sz w:val="28"/>
          <w:szCs w:val="28"/>
        </w:rPr>
        <w:t>for</w:t>
      </w:r>
      <w:r>
        <w:rPr>
          <w:rFonts w:ascii="Times New Roman" w:cs="Times New Roman" w:hAnsi="Times New Roman"/>
          <w:sz w:val="28"/>
          <w:szCs w:val="28"/>
        </w:rPr>
        <w:t xml:space="preserve"> </w:t>
      </w:r>
      <w:r>
        <w:rPr>
          <w:rFonts w:ascii="Times New Roman" w:cs="Times New Roman" w:hAnsi="Times New Roman"/>
          <w:sz w:val="28"/>
          <w:szCs w:val="28"/>
        </w:rPr>
        <w:t>Beginners</w:t>
      </w:r>
      <w:r>
        <w:rPr>
          <w:rFonts w:ascii="Times New Roman" w:cs="Times New Roman" w:hAnsi="Times New Roman"/>
          <w:sz w:val="28"/>
          <w:szCs w:val="28"/>
        </w:rPr>
        <w:t xml:space="preserve">" студентам предлагалось дать запрос к </w:t>
      </w:r>
      <w:r>
        <w:rPr>
          <w:rFonts w:ascii="Times New Roman" w:cs="Times New Roman" w:hAnsi="Times New Roman"/>
          <w:sz w:val="28"/>
          <w:szCs w:val="28"/>
        </w:rPr>
        <w:t>LLMs</w:t>
      </w:r>
      <w:r>
        <w:rPr>
          <w:rFonts w:ascii="Times New Roman" w:cs="Times New Roman" w:hAnsi="Times New Roman"/>
          <w:sz w:val="28"/>
          <w:szCs w:val="28"/>
        </w:rPr>
        <w:t xml:space="preserve"> – создать граф знаний (</w:t>
      </w:r>
      <w:r>
        <w:rPr>
          <w:rFonts w:ascii="Times New Roman" w:cs="Times New Roman" w:hAnsi="Times New Roman"/>
          <w:sz w:val="28"/>
          <w:szCs w:val="28"/>
          <w:lang w:val="en-US"/>
        </w:rPr>
        <w:t>k</w:t>
      </w:r>
      <w:r>
        <w:rPr>
          <w:rFonts w:ascii="Times New Roman" w:cs="Times New Roman" w:hAnsi="Times New Roman"/>
          <w:sz w:val="28"/>
          <w:szCs w:val="28"/>
        </w:rPr>
        <w:t>nowledge</w:t>
      </w:r>
      <w:r>
        <w:rPr>
          <w:rFonts w:ascii="Times New Roman" w:cs="Times New Roman" w:hAnsi="Times New Roman"/>
          <w:sz w:val="28"/>
          <w:szCs w:val="28"/>
        </w:rPr>
        <w:t xml:space="preserve"> </w:t>
      </w:r>
      <w:r>
        <w:rPr>
          <w:rFonts w:ascii="Times New Roman" w:cs="Times New Roman" w:hAnsi="Times New Roman"/>
          <w:sz w:val="28"/>
          <w:szCs w:val="28"/>
          <w:lang w:val="en-US"/>
        </w:rPr>
        <w:t>g</w:t>
      </w:r>
      <w:r>
        <w:rPr>
          <w:rFonts w:ascii="Times New Roman" w:cs="Times New Roman" w:hAnsi="Times New Roman"/>
          <w:sz w:val="28"/>
          <w:szCs w:val="28"/>
        </w:rPr>
        <w:t>raph)</w:t>
      </w:r>
      <w:r>
        <w:rPr>
          <w:rFonts w:ascii="Times New Roman" w:cs="Times New Roman" w:hAnsi="Times New Roman"/>
          <w:sz w:val="28"/>
          <w:szCs w:val="28"/>
        </w:rPr>
        <w:t xml:space="preserve"> глав "</w:t>
      </w:r>
      <w:r>
        <w:rPr>
          <w:rFonts w:ascii="Times New Roman" w:cs="Times New Roman" w:hAnsi="Times New Roman"/>
          <w:sz w:val="28"/>
          <w:szCs w:val="28"/>
        </w:rPr>
        <w:t>Sign</w:t>
      </w:r>
      <w:r>
        <w:rPr>
          <w:rFonts w:ascii="Times New Roman" w:cs="Times New Roman" w:hAnsi="Times New Roman"/>
          <w:sz w:val="28"/>
          <w:szCs w:val="28"/>
        </w:rPr>
        <w:t>" и "</w:t>
      </w:r>
      <w:r>
        <w:rPr>
          <w:rFonts w:ascii="Times New Roman" w:cs="Times New Roman" w:hAnsi="Times New Roman"/>
          <w:sz w:val="28"/>
          <w:szCs w:val="28"/>
        </w:rPr>
        <w:t>Codes</w:t>
      </w:r>
      <w:r>
        <w:rPr>
          <w:rFonts w:ascii="Times New Roman" w:cs="Times New Roman" w:hAnsi="Times New Roman"/>
          <w:sz w:val="28"/>
          <w:szCs w:val="28"/>
        </w:rPr>
        <w:t>" (например, см. рис. 1.).</w:t>
      </w:r>
    </w:p>
    <w:p w14:paraId="000000AA">
      <w:pPr>
        <w:spacing w:line="360" w:lineRule="auto"/>
        <w:jc w:val="center"/>
        <w:rPr>
          <w:rFonts w:ascii="Times New Roman" w:cs="Times New Roman" w:hAnsi="Times New Roman"/>
          <w:sz w:val="28"/>
          <w:szCs w:val="28"/>
        </w:rPr>
      </w:pPr>
      <w:r>
        <w:rPr>
          <w:rFonts w:ascii="Times New Roman" w:cs="Times New Roman" w:hAnsi="Times New Roman"/>
          <w:sz w:val="28"/>
          <w:szCs w:val="28"/>
        </w:rPr>
        <w:drawing xmlns:mc="http://schemas.openxmlformats.org/markup-compatibility/2006">
          <wp:inline distT="0" distB="0" distL="0" distR="0">
            <wp:extent cx="2883258" cy="1296000"/>
            <wp:effectExtent l="0" t="0" r="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29"/>
                    <a:srcRect/>
                    <a:stretch>
                      <a:fillRect/>
                    </a:stretch>
                  </pic:blipFill>
                  <pic:spPr>
                    <a:xfrm>
                      <a:off x="0" y="0"/>
                      <a:ext cx="2883258" cy="1296000"/>
                    </a:xfrm>
                    <a:prstGeom prst="rect">
                      <a:avLst/>
                    </a:prstGeom>
                    <a:noFill/>
                    <a:ln>
                      <a:noFill/>
                    </a:ln>
                  </pic:spPr>
                </pic:pic>
              </a:graphicData>
            </a:graphic>
          </wp:inline>
        </w:drawing>
      </w:r>
      <w:r>
        <w:rPr>
          <w:rFonts w:ascii="Times New Roman" w:cs="Times New Roman" w:hAnsi="Times New Roman"/>
          <w:sz w:val="28"/>
          <w:szCs w:val="28"/>
        </w:rPr>
        <w:t>(</w:t>
      </w:r>
      <w:r>
        <w:rPr>
          <w:rFonts w:ascii="Times New Roman" w:cs="Times New Roman" w:hAnsi="Times New Roman"/>
          <w:sz w:val="28"/>
          <w:szCs w:val="28"/>
          <w:lang w:val="en-US"/>
        </w:rPr>
        <w:t>DeepSeek</w:t>
      </w:r>
      <w:r>
        <w:rPr>
          <w:rFonts w:ascii="Times New Roman" w:cs="Times New Roman" w:hAnsi="Times New Roman"/>
          <w:sz w:val="28"/>
          <w:szCs w:val="28"/>
        </w:rPr>
        <w:t xml:space="preserve"> </w:t>
      </w:r>
      <w:r>
        <w:rPr>
          <w:rFonts w:ascii="Times New Roman" w:cs="Times New Roman" w:hAnsi="Times New Roman"/>
          <w:sz w:val="28"/>
          <w:szCs w:val="28"/>
          <w:lang w:val="en-US"/>
        </w:rPr>
        <w:t>R</w:t>
      </w:r>
      <w:r>
        <w:rPr>
          <w:rFonts w:ascii="Times New Roman" w:cs="Times New Roman" w:hAnsi="Times New Roman"/>
          <w:sz w:val="28"/>
          <w:szCs w:val="28"/>
        </w:rPr>
        <w:t>1: 25/10/2025)</w:t>
      </w:r>
    </w:p>
    <w:p w14:paraId="000000AB">
      <w:pPr>
        <w:spacing w:line="360" w:lineRule="auto"/>
        <w:jc w:val="both"/>
        <w:rPr>
          <w:rFonts w:ascii="Times New Roman" w:cs="Times New Roman" w:hAnsi="Times New Roman"/>
          <w:sz w:val="28"/>
          <w:szCs w:val="28"/>
        </w:rPr>
      </w:pPr>
    </w:p>
    <w:p w14:paraId="000000AC">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Затем предлагалось устно прокомментировать сгенерированный граф.</w:t>
      </w:r>
    </w:p>
    <w:p w14:paraId="000000AD">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 xml:space="preserve">Следующий инструмент, который предлагалось опробовать, был </w:t>
      </w:r>
      <w:r>
        <w:rPr>
          <w:rFonts w:ascii="Times New Roman" w:cs="Times New Roman" w:hAnsi="Times New Roman"/>
          <w:sz w:val="28"/>
          <w:szCs w:val="28"/>
        </w:rPr>
        <w:t>chain-of</w:t>
      </w:r>
      <w:r>
        <w:rPr>
          <w:rFonts w:ascii="Times New Roman" w:cs="Times New Roman" w:hAnsi="Times New Roman"/>
          <w:sz w:val="28"/>
          <w:szCs w:val="28"/>
        </w:rPr>
        <w:t>-</w:t>
      </w:r>
      <w:r>
        <w:rPr>
          <w:rFonts w:ascii="Times New Roman" w:cs="Times New Roman" w:hAnsi="Times New Roman"/>
          <w:sz w:val="28"/>
          <w:szCs w:val="28"/>
          <w:lang w:val="en-US"/>
        </w:rPr>
        <w:t>t</w:t>
      </w:r>
      <w:r>
        <w:rPr>
          <w:rFonts w:ascii="Times New Roman" w:cs="Times New Roman" w:hAnsi="Times New Roman"/>
          <w:sz w:val="28"/>
          <w:szCs w:val="28"/>
        </w:rPr>
        <w:t>hough</w:t>
      </w:r>
      <w:r>
        <w:rPr>
          <w:rFonts w:ascii="Times New Roman" w:cs="Times New Roman" w:hAnsi="Times New Roman"/>
          <w:sz w:val="28"/>
          <w:szCs w:val="28"/>
          <w:lang w:val="en-US"/>
        </w:rPr>
        <w:t>t (</w:t>
      </w:r>
      <w:r>
        <w:rPr>
          <w:rFonts w:ascii="Times New Roman" w:cs="Times New Roman" w:hAnsi="Times New Roman"/>
          <w:sz w:val="28"/>
          <w:szCs w:val="28"/>
          <w:lang w:val="ru-RU"/>
        </w:rPr>
        <w:t xml:space="preserve">логическая </w:t>
      </w:r>
      <w:r>
        <w:rPr>
          <w:rFonts w:ascii="Times New Roman" w:cs="Times New Roman" w:hAnsi="Times New Roman"/>
          <w:sz w:val="28"/>
          <w:szCs w:val="28"/>
          <w:lang w:val="ru-RU"/>
        </w:rPr>
        <w:t>цепочка)</w:t>
      </w:r>
      <w:r>
        <w:rPr>
          <w:rFonts w:ascii="Times New Roman" w:cs="Times New Roman" w:hAnsi="Times New Roman"/>
          <w:sz w:val="28"/>
          <w:szCs w:val="28"/>
        </w:rPr>
        <w:t xml:space="preserve">. Предварительно студенты познакомились с методами герменевтического анализа, такими как герменевтический круг (Г. </w:t>
      </w:r>
      <w:r>
        <w:rPr>
          <w:rFonts w:ascii="Times New Roman" w:cs="Times New Roman" w:hAnsi="Times New Roman"/>
          <w:sz w:val="28"/>
          <w:szCs w:val="28"/>
        </w:rPr>
        <w:t>Годамер</w:t>
      </w:r>
      <w:r>
        <w:rPr>
          <w:rStyle w:val="Footnotereference"/>
          <w:rFonts w:ascii="Times New Roman" w:cs="Times New Roman" w:hAnsi="Times New Roman"/>
          <w:sz w:val="28"/>
          <w:szCs w:val="28"/>
        </w:rPr>
        <w:footnoteReference w:id="7"/>
      </w:r>
      <w:r>
        <w:rPr>
          <w:rFonts w:ascii="Times New Roman" w:cs="Times New Roman" w:hAnsi="Times New Roman"/>
          <w:sz w:val="28"/>
          <w:szCs w:val="28"/>
        </w:rPr>
        <w:t>, М. Хайдеггер</w:t>
      </w:r>
      <w:r>
        <w:rPr>
          <w:rStyle w:val="Footnotereference"/>
          <w:rFonts w:ascii="Times New Roman" w:cs="Times New Roman" w:hAnsi="Times New Roman"/>
          <w:sz w:val="28"/>
          <w:szCs w:val="28"/>
        </w:rPr>
        <w:footnoteReference w:id="8"/>
      </w:r>
      <w:r>
        <w:rPr>
          <w:rFonts w:ascii="Times New Roman" w:cs="Times New Roman" w:hAnsi="Times New Roman"/>
          <w:sz w:val="28"/>
          <w:szCs w:val="28"/>
        </w:rPr>
        <w:t xml:space="preserve">) и семиотический квадрат (А. </w:t>
      </w:r>
      <w:r>
        <w:rPr>
          <w:rFonts w:ascii="Times New Roman" w:cs="Times New Roman" w:hAnsi="Times New Roman"/>
          <w:sz w:val="28"/>
          <w:szCs w:val="28"/>
        </w:rPr>
        <w:t>Греймас</w:t>
      </w:r>
      <w:r>
        <w:rPr>
          <w:rStyle w:val="Footnotereference"/>
          <w:rFonts w:ascii="Times New Roman" w:cs="Times New Roman" w:hAnsi="Times New Roman"/>
          <w:sz w:val="28"/>
          <w:szCs w:val="28"/>
        </w:rPr>
        <w:footnoteReference w:id="9"/>
      </w:r>
      <w:r>
        <w:rPr>
          <w:rFonts w:ascii="Times New Roman" w:cs="Times New Roman" w:hAnsi="Times New Roman"/>
          <w:sz w:val="28"/>
          <w:szCs w:val="28"/>
        </w:rPr>
        <w:t xml:space="preserve">). Для демонстрации семиотического и герменевтического анализа студентам было предложено познакомиться с главой "Множественность интерпретации" нашей монографии "Мир реальный и мир виртуальный" </w:t>
      </w:r>
      <w:r>
        <w:rPr>
          <w:rStyle w:val="Footnotereference"/>
          <w:rFonts w:ascii="Times New Roman" w:cs="Times New Roman" w:hAnsi="Times New Roman"/>
          <w:sz w:val="28"/>
          <w:szCs w:val="28"/>
        </w:rPr>
        <w:footnoteReference w:id="10"/>
      </w:r>
      <w:r>
        <w:rPr>
          <w:rFonts w:ascii="Times New Roman" w:cs="Times New Roman" w:hAnsi="Times New Roman"/>
          <w:sz w:val="28"/>
          <w:szCs w:val="28"/>
        </w:rPr>
        <w:t xml:space="preserve">, где рассматривались </w:t>
      </w:r>
      <w:r>
        <w:rPr>
          <w:rFonts w:ascii="Times New Roman" w:cs="Times New Roman" w:hAnsi="Times New Roman"/>
          <w:sz w:val="28"/>
          <w:szCs w:val="28"/>
        </w:rPr>
        <w:t>отрывки из художественных произведений У. Шекспира, Ф. Тютчева, О. Мандельштама, К. Чапека и А. де Сент Экзюпери с семиотических и герменевтических позиций. После было предложено использовать генеративные модели для построения логических цепочек (</w:t>
      </w:r>
      <w:r>
        <w:rPr>
          <w:rFonts w:ascii="Times New Roman" w:cs="Times New Roman" w:hAnsi="Times New Roman"/>
          <w:sz w:val="28"/>
          <w:szCs w:val="28"/>
          <w:lang w:val="en-US"/>
        </w:rPr>
        <w:t>c</w:t>
      </w:r>
      <w:r>
        <w:rPr>
          <w:rFonts w:ascii="Times New Roman" w:cs="Times New Roman" w:hAnsi="Times New Roman"/>
          <w:sz w:val="28"/>
          <w:szCs w:val="28"/>
        </w:rPr>
        <w:t>hain-of</w:t>
      </w:r>
      <w:r>
        <w:rPr>
          <w:rFonts w:ascii="Times New Roman" w:cs="Times New Roman" w:hAnsi="Times New Roman"/>
          <w:sz w:val="28"/>
          <w:szCs w:val="28"/>
        </w:rPr>
        <w:t>-</w:t>
      </w:r>
      <w:r>
        <w:rPr>
          <w:rFonts w:ascii="Times New Roman" w:cs="Times New Roman" w:hAnsi="Times New Roman"/>
          <w:sz w:val="28"/>
          <w:szCs w:val="28"/>
          <w:lang w:val="en-US"/>
        </w:rPr>
        <w:t>t</w:t>
      </w:r>
      <w:r>
        <w:rPr>
          <w:rFonts w:ascii="Times New Roman" w:cs="Times New Roman" w:hAnsi="Times New Roman"/>
          <w:sz w:val="28"/>
          <w:szCs w:val="28"/>
        </w:rPr>
        <w:t>hought</w:t>
      </w:r>
      <w:r>
        <w:rPr>
          <w:rFonts w:ascii="Times New Roman" w:cs="Times New Roman" w:hAnsi="Times New Roman"/>
          <w:sz w:val="28"/>
          <w:szCs w:val="28"/>
        </w:rPr>
        <w:t>). Характерно, что студенты предпочли визуализировать логические цепочки для дальнейшего "ручного" сопоставительного анализа.</w:t>
      </w:r>
    </w:p>
    <w:p w14:paraId="000000AE">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При изучении лингвистических моделей текста студентам было направлено следующее задание на английском языке по первичной обработке 8 текстов, принадлежащих к разным функциональным стилям (сонет Шекспира 4, преамбула декларации прав человека, аннотация научной статьи "</w:t>
      </w:r>
      <w:r>
        <w:rPr>
          <w:rFonts w:ascii="Times New Roman" w:cs="Times New Roman" w:hAnsi="Times New Roman"/>
          <w:sz w:val="28"/>
          <w:szCs w:val="28"/>
        </w:rPr>
        <w:t>Attention</w:t>
      </w:r>
      <w:r>
        <w:rPr>
          <w:rFonts w:ascii="Times New Roman" w:cs="Times New Roman" w:hAnsi="Times New Roman"/>
          <w:sz w:val="28"/>
          <w:szCs w:val="28"/>
        </w:rPr>
        <w:t> </w:t>
      </w:r>
      <w:r>
        <w:rPr>
          <w:rFonts w:ascii="Times New Roman" w:cs="Times New Roman" w:hAnsi="Times New Roman"/>
          <w:sz w:val="28"/>
          <w:szCs w:val="28"/>
          <w:lang w:val="en-US"/>
        </w:rPr>
        <w:t>I</w:t>
      </w:r>
      <w:r>
        <w:rPr>
          <w:rFonts w:ascii="Times New Roman" w:cs="Times New Roman" w:hAnsi="Times New Roman"/>
          <w:sz w:val="28"/>
          <w:szCs w:val="28"/>
        </w:rPr>
        <w:t xml:space="preserve">s </w:t>
      </w:r>
      <w:r>
        <w:rPr>
          <w:rFonts w:ascii="Times New Roman" w:cs="Times New Roman" w:hAnsi="Times New Roman"/>
          <w:sz w:val="28"/>
          <w:szCs w:val="28"/>
          <w:lang w:val="en-US"/>
        </w:rPr>
        <w:t>A</w:t>
      </w:r>
      <w:r>
        <w:rPr>
          <w:rFonts w:ascii="Times New Roman" w:cs="Times New Roman" w:hAnsi="Times New Roman"/>
          <w:sz w:val="28"/>
          <w:szCs w:val="28"/>
        </w:rPr>
        <w:t>ll</w:t>
      </w:r>
      <w:r>
        <w:rPr>
          <w:rFonts w:ascii="Times New Roman" w:cs="Times New Roman" w:hAnsi="Times New Roman"/>
          <w:sz w:val="28"/>
          <w:szCs w:val="28"/>
        </w:rPr>
        <w:t xml:space="preserve"> </w:t>
      </w:r>
      <w:r>
        <w:rPr>
          <w:rFonts w:ascii="Times New Roman" w:cs="Times New Roman" w:hAnsi="Times New Roman"/>
          <w:sz w:val="28"/>
          <w:szCs w:val="28"/>
          <w:lang w:val="en-US"/>
        </w:rPr>
        <w:t>W</w:t>
      </w:r>
      <w:r>
        <w:rPr>
          <w:rFonts w:ascii="Times New Roman" w:cs="Times New Roman" w:hAnsi="Times New Roman"/>
          <w:sz w:val="28"/>
          <w:szCs w:val="28"/>
        </w:rPr>
        <w:t xml:space="preserve">e </w:t>
      </w:r>
      <w:r>
        <w:rPr>
          <w:rFonts w:ascii="Times New Roman" w:cs="Times New Roman" w:hAnsi="Times New Roman"/>
          <w:sz w:val="28"/>
          <w:szCs w:val="28"/>
          <w:lang w:val="en-US"/>
        </w:rPr>
        <w:t>N</w:t>
      </w:r>
      <w:r>
        <w:rPr>
          <w:rFonts w:ascii="Times New Roman" w:cs="Times New Roman" w:hAnsi="Times New Roman"/>
          <w:sz w:val="28"/>
          <w:szCs w:val="28"/>
        </w:rPr>
        <w:t>eed</w:t>
      </w:r>
      <w:r>
        <w:rPr>
          <w:rFonts w:ascii="Times New Roman" w:cs="Times New Roman" w:hAnsi="Times New Roman"/>
          <w:sz w:val="28"/>
          <w:szCs w:val="28"/>
        </w:rPr>
        <w:t xml:space="preserve">", стихотворение Ш. Бодлера на французском языке, отрывок из очерка А. Чехова "Остров Сахалин",  глава романа Д. Лоренса "Sons </w:t>
      </w:r>
      <w:r>
        <w:rPr>
          <w:rFonts w:ascii="Times New Roman" w:cs="Times New Roman" w:hAnsi="Times New Roman"/>
          <w:sz w:val="28"/>
          <w:szCs w:val="28"/>
        </w:rPr>
        <w:t>and</w:t>
      </w:r>
      <w:r>
        <w:rPr>
          <w:rFonts w:ascii="Times New Roman" w:cs="Times New Roman" w:hAnsi="Times New Roman"/>
          <w:sz w:val="28"/>
          <w:szCs w:val="28"/>
        </w:rPr>
        <w:t xml:space="preserve"> </w:t>
      </w:r>
      <w:r>
        <w:rPr>
          <w:rFonts w:ascii="Times New Roman" w:cs="Times New Roman" w:hAnsi="Times New Roman"/>
          <w:sz w:val="28"/>
          <w:szCs w:val="28"/>
        </w:rPr>
        <w:t>Lovers</w:t>
      </w:r>
      <w:r>
        <w:rPr>
          <w:rFonts w:ascii="Times New Roman" w:cs="Times New Roman" w:hAnsi="Times New Roman"/>
          <w:sz w:val="28"/>
          <w:szCs w:val="28"/>
        </w:rPr>
        <w:t>", инструкция на русском языке по использованию микроволновки) инструментами NLP:</w:t>
      </w:r>
    </w:p>
    <w:p w14:paraId="000000AF">
      <w:pPr>
        <w:spacing w:line="360" w:lineRule="auto"/>
        <w:jc w:val="both"/>
        <w:rPr>
          <w:rFonts w:ascii="Times New Roman" w:cs="Times New Roman" w:hAnsi="Times New Roman"/>
          <w:i/>
          <w:iCs/>
          <w:sz w:val="28"/>
          <w:szCs w:val="28"/>
          <w:lang w:val="en-US"/>
        </w:rPr>
      </w:pPr>
      <w:r>
        <w:rPr>
          <w:rFonts w:ascii="Times New Roman" w:cs="Times New Roman" w:hAnsi="Times New Roman"/>
          <w:i/>
          <w:iCs/>
          <w:sz w:val="28"/>
          <w:szCs w:val="28"/>
          <w:lang w:val="en-US"/>
        </w:rPr>
        <w:t>Ask models to produce a code for a preliminary text analysis including the following steps:</w:t>
      </w:r>
    </w:p>
    <w:p w14:paraId="000000B0">
      <w:pPr>
        <w:spacing w:line="360" w:lineRule="auto"/>
        <w:jc w:val="both"/>
        <w:rPr>
          <w:rFonts w:ascii="Times New Roman" w:cs="Times New Roman" w:hAnsi="Times New Roman"/>
          <w:i/>
          <w:iCs/>
          <w:sz w:val="28"/>
          <w:szCs w:val="28"/>
          <w:lang w:val="en-US"/>
        </w:rPr>
      </w:pPr>
      <w:r>
        <w:rPr>
          <w:rFonts w:ascii="Times New Roman" w:cs="Times New Roman" w:hAnsi="Times New Roman"/>
          <w:i/>
          <w:iCs/>
          <w:sz w:val="28"/>
          <w:szCs w:val="28"/>
          <w:lang w:val="en-US"/>
        </w:rPr>
        <w:t>Step 1: define the type of the text (provide arguments).</w:t>
      </w:r>
    </w:p>
    <w:p w14:paraId="000000B1">
      <w:pPr>
        <w:spacing w:line="360" w:lineRule="auto"/>
        <w:jc w:val="both"/>
        <w:rPr>
          <w:rFonts w:ascii="Times New Roman" w:cs="Times New Roman" w:hAnsi="Times New Roman"/>
          <w:i/>
          <w:iCs/>
          <w:sz w:val="28"/>
          <w:szCs w:val="28"/>
          <w:lang w:val="en-US"/>
        </w:rPr>
      </w:pPr>
      <w:r>
        <w:rPr>
          <w:rFonts w:ascii="Times New Roman" w:cs="Times New Roman" w:hAnsi="Times New Roman"/>
          <w:i/>
          <w:iCs/>
          <w:sz w:val="28"/>
          <w:szCs w:val="28"/>
          <w:lang w:val="en-US"/>
        </w:rPr>
        <w:t>Step 2: single out Named Entities.</w:t>
      </w:r>
    </w:p>
    <w:p w14:paraId="000000B2">
      <w:pPr>
        <w:spacing w:line="360" w:lineRule="auto"/>
        <w:jc w:val="both"/>
        <w:rPr>
          <w:rFonts w:ascii="Times New Roman" w:cs="Times New Roman" w:hAnsi="Times New Roman"/>
          <w:i/>
          <w:iCs/>
          <w:sz w:val="28"/>
          <w:szCs w:val="28"/>
          <w:lang w:val="en-US"/>
        </w:rPr>
      </w:pPr>
      <w:r>
        <w:rPr>
          <w:rFonts w:ascii="Times New Roman" w:cs="Times New Roman" w:hAnsi="Times New Roman"/>
          <w:i/>
          <w:iCs/>
          <w:sz w:val="28"/>
          <w:szCs w:val="28"/>
          <w:lang w:val="en-US"/>
        </w:rPr>
        <w:t>Step 3: perform "parts of speech tagging".</w:t>
      </w:r>
    </w:p>
    <w:p w14:paraId="000000B3">
      <w:pPr>
        <w:spacing w:line="360" w:lineRule="auto"/>
        <w:jc w:val="both"/>
        <w:rPr>
          <w:rFonts w:ascii="Times New Roman" w:cs="Times New Roman" w:hAnsi="Times New Roman"/>
          <w:i/>
          <w:iCs/>
          <w:sz w:val="28"/>
          <w:szCs w:val="28"/>
          <w:lang w:val="en-US"/>
        </w:rPr>
      </w:pPr>
      <w:r>
        <w:rPr>
          <w:rFonts w:ascii="Times New Roman" w:cs="Times New Roman" w:hAnsi="Times New Roman"/>
          <w:i/>
          <w:iCs/>
          <w:sz w:val="28"/>
          <w:szCs w:val="28"/>
          <w:lang w:val="en-US"/>
        </w:rPr>
        <w:t>Step 4: perform "sentiment analysis of the text".</w:t>
      </w:r>
    </w:p>
    <w:p w14:paraId="000000B4">
      <w:pPr>
        <w:spacing w:line="360" w:lineRule="auto"/>
        <w:jc w:val="both"/>
        <w:rPr>
          <w:rFonts w:ascii="Times New Roman" w:cs="Times New Roman" w:hAnsi="Times New Roman"/>
          <w:i/>
          <w:iCs/>
          <w:sz w:val="28"/>
          <w:szCs w:val="28"/>
          <w:lang w:val="en-US"/>
        </w:rPr>
      </w:pPr>
      <w:r>
        <w:rPr>
          <w:rFonts w:ascii="Times New Roman" w:cs="Times New Roman" w:hAnsi="Times New Roman"/>
          <w:i/>
          <w:iCs/>
          <w:sz w:val="28"/>
          <w:szCs w:val="28"/>
          <w:lang w:val="en-US"/>
        </w:rPr>
        <w:t>Step 5: perform syntactic parsing of the text.</w:t>
      </w:r>
    </w:p>
    <w:p w14:paraId="000000B5">
      <w:pPr>
        <w:spacing w:line="360" w:lineRule="auto"/>
        <w:jc w:val="both"/>
        <w:rPr>
          <w:rFonts w:ascii="Times New Roman" w:cs="Times New Roman" w:hAnsi="Times New Roman"/>
          <w:i/>
          <w:iCs/>
          <w:sz w:val="28"/>
          <w:szCs w:val="28"/>
          <w:lang w:val="en-US"/>
        </w:rPr>
      </w:pPr>
      <w:r>
        <w:rPr>
          <w:rFonts w:ascii="Times New Roman" w:cs="Times New Roman" w:hAnsi="Times New Roman"/>
          <w:i/>
          <w:iCs/>
          <w:sz w:val="28"/>
          <w:szCs w:val="28"/>
          <w:lang w:val="en-US"/>
        </w:rPr>
        <w:t>Step 6: present the quantitative results of the preliminary analysis in a table.</w:t>
      </w:r>
    </w:p>
    <w:p w14:paraId="000000B6">
      <w:pPr>
        <w:spacing w:line="360" w:lineRule="auto"/>
        <w:jc w:val="both"/>
        <w:rPr>
          <w:rFonts w:ascii="Times New Roman" w:cs="Times New Roman" w:hAnsi="Times New Roman"/>
          <w:i/>
          <w:iCs/>
          <w:sz w:val="28"/>
          <w:szCs w:val="28"/>
          <w:lang w:val="en-US"/>
        </w:rPr>
      </w:pPr>
      <w:r>
        <w:rPr>
          <w:rFonts w:ascii="Times New Roman" w:cs="Times New Roman" w:hAnsi="Times New Roman"/>
          <w:i/>
          <w:iCs/>
          <w:sz w:val="28"/>
          <w:szCs w:val="28"/>
          <w:lang w:val="en-US"/>
        </w:rPr>
        <w:t>Implement a code you have obtained for the analysis of the texts (a file to follow below). If you fail to obtain a code, perform the analysis according to the 6 steps enumerated above.</w:t>
      </w:r>
      <w:r>
        <w:rPr>
          <w:rStyle w:val="Footnotereference"/>
          <w:rFonts w:ascii="Times New Roman" w:cs="Times New Roman" w:hAnsi="Times New Roman"/>
          <w:i/>
          <w:iCs/>
          <w:sz w:val="28"/>
          <w:szCs w:val="28"/>
          <w:lang w:val="en-US"/>
        </w:rPr>
        <w:footnoteReference w:id="11"/>
      </w:r>
    </w:p>
    <w:p w14:paraId="000000B7">
      <w:pPr>
        <w:spacing w:line="360" w:lineRule="auto"/>
        <w:jc w:val="both"/>
        <w:rPr>
          <w:rFonts w:ascii="Times New Roman" w:cs="Times New Roman" w:hAnsi="Times New Roman"/>
          <w:sz w:val="28"/>
          <w:szCs w:val="28"/>
          <w:lang w:val="en-US"/>
        </w:rPr>
      </w:pPr>
    </w:p>
    <w:p w14:paraId="000000B8">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 xml:space="preserve">После было предложено провести экспертный анализ этих текстов по семи стандартам текстуальности (Р. де </w:t>
      </w:r>
      <w:r>
        <w:rPr>
          <w:rFonts w:ascii="Times New Roman" w:cs="Times New Roman" w:hAnsi="Times New Roman"/>
          <w:sz w:val="28"/>
          <w:szCs w:val="28"/>
        </w:rPr>
        <w:t>Богранд</w:t>
      </w:r>
      <w:r>
        <w:rPr>
          <w:rFonts w:ascii="Times New Roman" w:cs="Times New Roman" w:hAnsi="Times New Roman"/>
          <w:sz w:val="28"/>
          <w:szCs w:val="28"/>
        </w:rPr>
        <w:t xml:space="preserve">, В. </w:t>
      </w:r>
      <w:r>
        <w:rPr>
          <w:rFonts w:ascii="Times New Roman" w:cs="Times New Roman" w:hAnsi="Times New Roman"/>
          <w:sz w:val="28"/>
          <w:szCs w:val="28"/>
        </w:rPr>
        <w:t>Дрессель</w:t>
      </w:r>
      <w:r>
        <w:rPr>
          <w:rFonts w:ascii="Times New Roman" w:cs="Times New Roman" w:hAnsi="Times New Roman"/>
          <w:sz w:val="28"/>
          <w:szCs w:val="28"/>
        </w:rPr>
        <w:t>).</w:t>
      </w:r>
    </w:p>
    <w:p w14:paraId="000000B9">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 xml:space="preserve">Далее, для того чтобы проверить, насколько полно </w:t>
      </w:r>
      <w:r>
        <w:rPr>
          <w:rFonts w:ascii="Times New Roman" w:cs="Times New Roman" w:hAnsi="Times New Roman"/>
          <w:sz w:val="28"/>
          <w:szCs w:val="28"/>
        </w:rPr>
        <w:t>деконструктивисткий</w:t>
      </w:r>
      <w:r>
        <w:rPr>
          <w:rFonts w:ascii="Times New Roman" w:cs="Times New Roman" w:hAnsi="Times New Roman"/>
          <w:sz w:val="28"/>
          <w:szCs w:val="28"/>
        </w:rPr>
        <w:t xml:space="preserve"> принцип "отложенного" значения слова, а также принцип одновременного сходства и различия (</w:t>
      </w:r>
      <w:r>
        <w:rPr>
          <w:rFonts w:ascii="Times New Roman" w:cs="Times New Roman" w:hAnsi="Times New Roman"/>
          <w:sz w:val="28"/>
          <w:szCs w:val="28"/>
        </w:rPr>
        <w:t>différance</w:t>
      </w:r>
      <w:r>
        <w:rPr>
          <w:rFonts w:ascii="Times New Roman" w:cs="Times New Roman" w:hAnsi="Times New Roman"/>
          <w:sz w:val="28"/>
          <w:szCs w:val="28"/>
        </w:rPr>
        <w:t xml:space="preserve">) реализуются при действии механизмов трансформера </w:t>
      </w:r>
      <w:r>
        <w:rPr>
          <w:rFonts w:ascii="Times New Roman" w:cs="Times New Roman" w:hAnsi="Times New Roman"/>
          <w:sz w:val="28"/>
          <w:szCs w:val="28"/>
        </w:rPr>
        <w:t>self-attention (самовнимание)</w:t>
      </w:r>
      <w:r>
        <w:rPr>
          <w:rFonts w:ascii="Times New Roman" w:cs="Times New Roman" w:hAnsi="Times New Roman"/>
          <w:sz w:val="28"/>
          <w:szCs w:val="28"/>
        </w:rPr>
        <w:t xml:space="preserve">, </w:t>
      </w:r>
      <w:r>
        <w:rPr>
          <w:rFonts w:ascii="Times New Roman" w:cs="Times New Roman" w:hAnsi="Times New Roman"/>
          <w:sz w:val="28"/>
          <w:szCs w:val="28"/>
        </w:rPr>
        <w:t>linear</w:t>
      </w:r>
      <w:r>
        <w:rPr>
          <w:rFonts w:ascii="Times New Roman" w:cs="Times New Roman" w:hAnsi="Times New Roman"/>
          <w:sz w:val="28"/>
          <w:szCs w:val="28"/>
        </w:rPr>
        <w:t xml:space="preserve"> </w:t>
      </w:r>
      <w:r>
        <w:rPr>
          <w:rFonts w:ascii="Times New Roman" w:cs="Times New Roman" w:hAnsi="Times New Roman"/>
          <w:sz w:val="28"/>
          <w:szCs w:val="28"/>
        </w:rPr>
        <w:t>attention (линейное внимание)</w:t>
      </w:r>
      <w:r>
        <w:rPr>
          <w:rFonts w:ascii="Times New Roman" w:cs="Times New Roman" w:hAnsi="Times New Roman"/>
          <w:sz w:val="28"/>
          <w:szCs w:val="28"/>
        </w:rPr>
        <w:t xml:space="preserve"> и </w:t>
      </w:r>
      <w:r>
        <w:rPr>
          <w:rFonts w:ascii="Times New Roman" w:cs="Times New Roman" w:hAnsi="Times New Roman"/>
          <w:sz w:val="28"/>
          <w:szCs w:val="28"/>
        </w:rPr>
        <w:t>multi-head</w:t>
      </w:r>
      <w:r>
        <w:rPr>
          <w:rFonts w:ascii="Times New Roman" w:cs="Times New Roman" w:hAnsi="Times New Roman"/>
          <w:sz w:val="28"/>
          <w:szCs w:val="28"/>
        </w:rPr>
        <w:t xml:space="preserve"> </w:t>
      </w:r>
      <w:r>
        <w:rPr>
          <w:rFonts w:ascii="Times New Roman" w:cs="Times New Roman" w:hAnsi="Times New Roman"/>
          <w:sz w:val="28"/>
          <w:szCs w:val="28"/>
        </w:rPr>
        <w:t>attention (мнгогоголовое внимание)</w:t>
      </w:r>
      <w:r>
        <w:rPr>
          <w:rFonts w:ascii="Times New Roman" w:cs="Times New Roman" w:hAnsi="Times New Roman"/>
          <w:sz w:val="28"/>
          <w:szCs w:val="28"/>
        </w:rPr>
        <w:t xml:space="preserve">, студентам после изучения ими основных позиций </w:t>
      </w:r>
      <w:r>
        <w:rPr>
          <w:rFonts w:ascii="Times New Roman" w:cs="Times New Roman" w:hAnsi="Times New Roman"/>
          <w:sz w:val="28"/>
          <w:szCs w:val="28"/>
        </w:rPr>
        <w:t>деконструктивисткого</w:t>
      </w:r>
      <w:r>
        <w:rPr>
          <w:rFonts w:ascii="Times New Roman" w:cs="Times New Roman" w:hAnsi="Times New Roman"/>
          <w:sz w:val="28"/>
          <w:szCs w:val="28"/>
        </w:rPr>
        <w:t xml:space="preserve"> анализа (историзм, метонимическая цепочка, одновременные сходство и различие,  текстуальность) было предложено разработать свой алгоритм запроса к моделям для </w:t>
      </w:r>
      <w:r>
        <w:rPr>
          <w:rFonts w:ascii="Times New Roman" w:cs="Times New Roman" w:hAnsi="Times New Roman"/>
          <w:sz w:val="28"/>
          <w:szCs w:val="28"/>
        </w:rPr>
        <w:t>деконструктивисткого</w:t>
      </w:r>
      <w:r>
        <w:rPr>
          <w:rFonts w:ascii="Times New Roman" w:cs="Times New Roman" w:hAnsi="Times New Roman"/>
          <w:sz w:val="28"/>
          <w:szCs w:val="28"/>
        </w:rPr>
        <w:t xml:space="preserve"> анализа с привлечением генеративных моделей. </w:t>
      </w:r>
    </w:p>
    <w:p w14:paraId="000000BA">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 xml:space="preserve">При выборе материалов исследования мы руководствовались семантической классификацией типов текста, предложенной Робертом де </w:t>
      </w:r>
      <w:r>
        <w:rPr>
          <w:rFonts w:ascii="Times New Roman" w:cs="Times New Roman" w:hAnsi="Times New Roman"/>
          <w:sz w:val="28"/>
          <w:szCs w:val="28"/>
        </w:rPr>
        <w:t>Бограндом</w:t>
      </w:r>
      <w:r>
        <w:rPr>
          <w:rFonts w:ascii="Times New Roman" w:cs="Times New Roman" w:hAnsi="Times New Roman"/>
          <w:sz w:val="28"/>
          <w:szCs w:val="28"/>
        </w:rPr>
        <w:t xml:space="preserve"> и</w:t>
      </w:r>
      <w:r>
        <w:rPr>
          <w:rFonts w:ascii="Times New Roman" w:cs="Times New Roman" w:hAnsi="Times New Roman"/>
          <w:sz w:val="28"/>
          <w:szCs w:val="28"/>
        </w:rPr>
        <w:t xml:space="preserve"> Вольфгангом</w:t>
      </w:r>
      <w:r>
        <w:rPr>
          <w:rFonts w:ascii="Times New Roman" w:cs="Times New Roman" w:hAnsi="Times New Roman"/>
          <w:sz w:val="28"/>
          <w:szCs w:val="28"/>
        </w:rPr>
        <w:t xml:space="preserve"> </w:t>
      </w:r>
      <w:r>
        <w:rPr>
          <w:rFonts w:ascii="Times New Roman" w:cs="Times New Roman" w:hAnsi="Times New Roman"/>
          <w:sz w:val="28"/>
          <w:szCs w:val="28"/>
        </w:rPr>
        <w:t>Дресселем</w:t>
      </w:r>
      <w:r>
        <w:rPr>
          <w:rFonts w:ascii="Times New Roman" w:cs="Times New Roman" w:hAnsi="Times New Roman"/>
          <w:sz w:val="28"/>
          <w:szCs w:val="28"/>
        </w:rPr>
        <w:t xml:space="preserve">. Учитывая жанровую типологию, описанную в книге Дэниеля </w:t>
      </w:r>
      <w:r>
        <w:rPr>
          <w:rFonts w:ascii="Times New Roman" w:cs="Times New Roman" w:hAnsi="Times New Roman"/>
          <w:sz w:val="28"/>
          <w:szCs w:val="28"/>
        </w:rPr>
        <w:t>Чэндлера</w:t>
      </w:r>
      <w:r>
        <w:rPr>
          <w:rFonts w:ascii="Times New Roman" w:cs="Times New Roman" w:hAnsi="Times New Roman"/>
          <w:sz w:val="28"/>
          <w:szCs w:val="28"/>
        </w:rPr>
        <w:t>, рассматривались языки, которыми владеют студенты (русский, английский, французский). Кроме того, для определения логической цепочки (</w:t>
      </w:r>
      <w:r>
        <w:rPr>
          <w:rFonts w:ascii="Times New Roman" w:cs="Times New Roman" w:hAnsi="Times New Roman"/>
          <w:sz w:val="28"/>
          <w:szCs w:val="28"/>
        </w:rPr>
        <w:t>chain-of-thought</w:t>
      </w:r>
      <w:r>
        <w:rPr>
          <w:rFonts w:ascii="Times New Roman" w:cs="Times New Roman" w:hAnsi="Times New Roman"/>
          <w:sz w:val="28"/>
          <w:szCs w:val="28"/>
        </w:rPr>
        <w:t>) предлагались тексты, эксплицитно или имплицитно предполагающие множественность интерпретации гетерогенных текстов.</w:t>
      </w:r>
    </w:p>
    <w:p w14:paraId="000000BB">
      <w:pPr>
        <w:spacing w:line="360" w:lineRule="auto"/>
        <w:jc w:val="both"/>
        <w:rPr>
          <w:rFonts w:ascii="Times New Roman" w:cs="Times New Roman" w:hAnsi="Times New Roman"/>
          <w:sz w:val="28"/>
          <w:szCs w:val="28"/>
        </w:rPr>
      </w:pPr>
    </w:p>
    <w:p w14:paraId="000000BC">
      <w:pPr>
        <w:spacing w:line="360" w:lineRule="auto"/>
        <w:jc w:val="both"/>
        <w:rPr>
          <w:rFonts w:ascii="Times New Roman" w:cs="Times New Roman" w:hAnsi="Times New Roman"/>
          <w:sz w:val="28"/>
          <w:szCs w:val="28"/>
        </w:rPr>
      </w:pPr>
      <w:r>
        <w:rPr>
          <w:rFonts w:ascii="Times New Roman" w:cs="Times New Roman" w:hAnsi="Times New Roman"/>
          <w:sz w:val="28"/>
          <w:szCs w:val="28"/>
        </w:rPr>
        <w:t>РЕЗУЛЬТАТЫ И ОБСУЖДЕНИЕ</w:t>
      </w:r>
    </w:p>
    <w:p w14:paraId="000000BD">
      <w:pPr>
        <w:spacing w:line="360" w:lineRule="auto"/>
        <w:jc w:val="both"/>
        <w:rPr>
          <w:rFonts w:ascii="Times New Roman" w:cs="Times New Roman" w:hAnsi="Times New Roman"/>
          <w:sz w:val="28"/>
          <w:szCs w:val="28"/>
        </w:rPr>
      </w:pPr>
      <w:r>
        <w:rPr>
          <w:rFonts w:ascii="Times New Roman" w:cs="Times New Roman" w:hAnsi="Times New Roman"/>
          <w:sz w:val="28"/>
          <w:szCs w:val="28"/>
        </w:rPr>
        <w:t xml:space="preserve"> </w:t>
      </w:r>
      <w:r>
        <w:rPr>
          <w:rFonts w:ascii="Times New Roman" w:cs="Times New Roman" w:hAnsi="Times New Roman"/>
          <w:sz w:val="28"/>
          <w:szCs w:val="28"/>
        </w:rPr>
        <w:tab/>
      </w:r>
      <w:r>
        <w:rPr>
          <w:rStyle w:val="Footnotereference"/>
          <w:rFonts w:ascii="Times New Roman" w:cs="Times New Roman" w:hAnsi="Times New Roman"/>
          <w:sz w:val="28"/>
          <w:szCs w:val="28"/>
        </w:rPr>
        <w:footnoteReference w:id="12"/>
      </w:r>
      <w:r>
        <w:rPr>
          <w:rFonts w:ascii="Times New Roman" w:cs="Times New Roman" w:hAnsi="Times New Roman"/>
          <w:sz w:val="28"/>
          <w:szCs w:val="28"/>
        </w:rPr>
        <w:t>В рамках автоматизированного анализа был создан Python-</w:t>
      </w:r>
      <w:r>
        <w:rPr>
          <w:rFonts w:ascii="Times New Roman" w:cs="Times New Roman" w:hAnsi="Times New Roman"/>
          <w:sz w:val="28"/>
          <w:szCs w:val="28"/>
        </w:rPr>
        <w:t>пайплайн</w:t>
      </w:r>
      <w:r>
        <w:rPr>
          <w:rFonts w:ascii="Times New Roman" w:cs="Times New Roman" w:hAnsi="Times New Roman"/>
          <w:sz w:val="28"/>
          <w:szCs w:val="28"/>
        </w:rPr>
        <w:t xml:space="preserve">, который самостоятельно справился с обработкой количественных характеристик текстов. С помощью библиотек </w:t>
      </w:r>
      <w:r>
        <w:rPr>
          <w:rFonts w:ascii="Times New Roman" w:cs="Times New Roman" w:hAnsi="Times New Roman"/>
          <w:sz w:val="28"/>
          <w:szCs w:val="28"/>
        </w:rPr>
        <w:t>spaCy</w:t>
      </w:r>
      <w:r>
        <w:rPr>
          <w:rFonts w:ascii="Times New Roman" w:cs="Times New Roman" w:hAnsi="Times New Roman"/>
          <w:sz w:val="28"/>
          <w:szCs w:val="28"/>
        </w:rPr>
        <w:t xml:space="preserve">, NLTK и </w:t>
      </w:r>
      <w:r>
        <w:rPr>
          <w:rFonts w:ascii="Times New Roman" w:cs="Times New Roman" w:hAnsi="Times New Roman"/>
          <w:sz w:val="28"/>
          <w:szCs w:val="28"/>
        </w:rPr>
        <w:t>TextBlob</w:t>
      </w:r>
      <w:r>
        <w:rPr>
          <w:rFonts w:ascii="Times New Roman" w:cs="Times New Roman" w:hAnsi="Times New Roman"/>
          <w:sz w:val="28"/>
          <w:szCs w:val="28"/>
        </w:rPr>
        <w:t xml:space="preserve"> были автоматически извлечены и подсчитаны: общее количество слов и предложений, процент уникальных слов, количество именованных сущностей, средняя длина слов и предложений, а также тональность и субъективность для английских текстов. Этот этап полностью выполнялся кодом, который классифицировал тексты по формальным признакам (например, определил юридический документ по клише "</w:t>
      </w:r>
      <w:r>
        <w:rPr>
          <w:rFonts w:ascii="Times New Roman" w:cs="Times New Roman" w:hAnsi="Times New Roman"/>
          <w:sz w:val="28"/>
          <w:szCs w:val="28"/>
        </w:rPr>
        <w:t>whereas</w:t>
      </w:r>
      <w:r>
        <w:rPr>
          <w:rFonts w:ascii="Times New Roman" w:cs="Times New Roman" w:hAnsi="Times New Roman"/>
          <w:sz w:val="28"/>
          <w:szCs w:val="28"/>
        </w:rPr>
        <w:t>", а поэзию — по архаичным местоимениям), генерируя готовую таблицу с метриками без человеческого вмешательства.</w:t>
      </w:r>
    </w:p>
    <w:p w14:paraId="000000BE">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 xml:space="preserve">Для качественного анализа по 7 стандартам текстуальности де </w:t>
      </w:r>
      <w:r>
        <w:rPr>
          <w:rFonts w:ascii="Times New Roman" w:cs="Times New Roman" w:hAnsi="Times New Roman"/>
          <w:sz w:val="28"/>
          <w:szCs w:val="28"/>
        </w:rPr>
        <w:t>Богранда</w:t>
      </w:r>
      <w:r>
        <w:rPr>
          <w:rFonts w:ascii="Times New Roman" w:cs="Times New Roman" w:hAnsi="Times New Roman"/>
          <w:sz w:val="28"/>
          <w:szCs w:val="28"/>
        </w:rPr>
        <w:t xml:space="preserve"> возможностей автоматических инструментов оказалось недостаточно. Здесь потребовалось комбинированное использование Python-скриптов для первичной обработки и помощи </w:t>
      </w:r>
      <w:r>
        <w:rPr>
          <w:rFonts w:ascii="Times New Roman" w:cs="Times New Roman" w:hAnsi="Times New Roman"/>
          <w:sz w:val="28"/>
          <w:szCs w:val="28"/>
        </w:rPr>
        <w:t>Б</w:t>
      </w:r>
      <w:r>
        <w:rPr>
          <w:rFonts w:ascii="Times New Roman" w:cs="Times New Roman" w:hAnsi="Times New Roman"/>
          <w:sz w:val="28"/>
          <w:szCs w:val="28"/>
        </w:rPr>
        <w:t xml:space="preserve">ольшой языковой модели </w:t>
      </w:r>
      <w:r>
        <w:rPr>
          <w:rFonts w:ascii="Times New Roman" w:cs="Times New Roman" w:hAnsi="Times New Roman"/>
          <w:sz w:val="28"/>
          <w:szCs w:val="28"/>
        </w:rPr>
        <w:t>DeepSeek</w:t>
      </w:r>
      <w:r>
        <w:rPr>
          <w:rFonts w:ascii="Times New Roman" w:cs="Times New Roman" w:hAnsi="Times New Roman"/>
          <w:sz w:val="28"/>
          <w:szCs w:val="28"/>
        </w:rPr>
        <w:t xml:space="preserve"> для экспертной интерпретации. </w:t>
      </w:r>
      <w:r>
        <w:rPr>
          <w:rFonts w:ascii="Times New Roman" w:cs="Times New Roman" w:hAnsi="Times New Roman"/>
          <w:sz w:val="28"/>
          <w:szCs w:val="28"/>
        </w:rPr>
        <w:t>DeepSeek</w:t>
      </w:r>
      <w:r>
        <w:rPr>
          <w:rFonts w:ascii="Times New Roman" w:cs="Times New Roman" w:hAnsi="Times New Roman"/>
          <w:sz w:val="28"/>
          <w:szCs w:val="28"/>
        </w:rPr>
        <w:t xml:space="preserve"> использовался для семантического анализа, выявления </w:t>
      </w:r>
      <w:r>
        <w:rPr>
          <w:rFonts w:ascii="Times New Roman" w:cs="Times New Roman" w:hAnsi="Times New Roman"/>
          <w:sz w:val="28"/>
          <w:szCs w:val="28"/>
        </w:rPr>
        <w:t>интертекстуальных</w:t>
      </w:r>
      <w:r>
        <w:rPr>
          <w:rFonts w:ascii="Times New Roman" w:cs="Times New Roman" w:hAnsi="Times New Roman"/>
          <w:sz w:val="28"/>
          <w:szCs w:val="28"/>
        </w:rPr>
        <w:t xml:space="preserve"> связей, оценки когерентности и интенциональности, что позволило перевести качественные характеристики текстов в стандартизированные баллы. Такой гибридный подход позволил создать комплексную оценку, где машинная обработка дополнилась глубоким контекстуальным анализом, недоступным для автоматических инструментов.</w:t>
      </w:r>
    </w:p>
    <w:p w14:paraId="000000BF">
      <w:pPr>
        <w:spacing w:line="360" w:lineRule="auto"/>
        <w:jc w:val="both"/>
        <w:rPr>
          <w:rFonts w:ascii="Times New Roman" w:cs="Times New Roman" w:hAnsi="Times New Roman"/>
          <w:sz w:val="28"/>
          <w:szCs w:val="28"/>
        </w:rPr>
      </w:pPr>
      <w:r>
        <w:rPr>
          <w:rFonts w:ascii="Times New Roman" w:cs="Times New Roman" w:hAnsi="Times New Roman"/>
          <w:sz w:val="28"/>
          <w:szCs w:val="28"/>
        </w:rPr>
        <w:t>Пример:</w:t>
      </w:r>
    </w:p>
    <w:p w14:paraId="000000C0">
      <w:pPr>
        <w:spacing w:line="360" w:lineRule="auto"/>
        <w:jc w:val="both"/>
        <w:rPr>
          <w:rFonts w:ascii="Times New Roman" w:cs="Times New Roman" w:hAnsi="Times New Roman"/>
          <w:sz w:val="28"/>
          <w:szCs w:val="28"/>
        </w:rPr>
      </w:pPr>
      <w:r>
        <w:rPr>
          <w:rFonts w:ascii="Times New Roman" w:cs="Times New Roman" w:hAnsi="Times New Roman"/>
          <w:sz w:val="28"/>
          <w:szCs w:val="28"/>
        </w:rPr>
        <w:t>Augmented</w:t>
      </w:r>
      <w:r>
        <w:rPr>
          <w:rFonts w:ascii="Times New Roman" w:cs="Times New Roman" w:hAnsi="Times New Roman"/>
          <w:sz w:val="28"/>
          <w:szCs w:val="28"/>
        </w:rPr>
        <w:t xml:space="preserve"> Analysis (Комбинированный анализ): Сонет 144 Шекспира сквозь призму Деррида и трансформера (</w:t>
      </w:r>
      <w:r>
        <w:rPr>
          <w:rFonts w:ascii="Times New Roman" w:cs="Times New Roman" w:hAnsi="Times New Roman"/>
          <w:sz w:val="28"/>
          <w:szCs w:val="28"/>
          <w:lang w:val="en-US"/>
        </w:rPr>
        <w:t>t</w:t>
      </w:r>
      <w:r>
        <w:rPr>
          <w:rFonts w:ascii="Times New Roman" w:cs="Times New Roman" w:hAnsi="Times New Roman"/>
          <w:sz w:val="28"/>
          <w:szCs w:val="28"/>
        </w:rPr>
        <w:t>ransformer)</w:t>
      </w:r>
    </w:p>
    <w:p w14:paraId="000000C1">
      <w:pPr>
        <w:spacing w:line="360" w:lineRule="auto"/>
        <w:jc w:val="both"/>
        <w:rPr>
          <w:rFonts w:ascii="Times New Roman" w:cs="Times New Roman" w:hAnsi="Times New Roman"/>
          <w:sz w:val="28"/>
          <w:szCs w:val="28"/>
          <w:lang w:val="en-US"/>
        </w:rPr>
      </w:pPr>
      <w:r>
        <w:rPr>
          <w:rFonts w:ascii="Times New Roman" w:cs="Times New Roman" w:hAnsi="Times New Roman"/>
          <w:sz w:val="28"/>
          <w:szCs w:val="28"/>
        </w:rPr>
        <w:t>Текст</w:t>
      </w:r>
      <w:r>
        <w:rPr>
          <w:rFonts w:ascii="Times New Roman" w:cs="Times New Roman" w:hAnsi="Times New Roman"/>
          <w:sz w:val="28"/>
          <w:szCs w:val="28"/>
          <w:lang w:val="en-US"/>
        </w:rPr>
        <w:t xml:space="preserve"> 1</w:t>
      </w:r>
    </w:p>
    <w:p w14:paraId="000000C2">
      <w:pPr>
        <w:spacing w:line="360" w:lineRule="auto"/>
        <w:jc w:val="both"/>
        <w:rPr>
          <w:rFonts w:ascii="Times New Roman" w:cs="Times New Roman" w:hAnsi="Times New Roman"/>
          <w:sz w:val="28"/>
          <w:szCs w:val="28"/>
          <w:lang w:val="en-US"/>
        </w:rPr>
      </w:pPr>
      <w:r>
        <w:rPr>
          <w:rFonts w:ascii="Times New Roman" w:cs="Times New Roman" w:hAnsi="Times New Roman"/>
          <w:sz w:val="28"/>
          <w:szCs w:val="28"/>
          <w:lang w:val="en-US"/>
        </w:rPr>
        <w:t>144</w:t>
      </w:r>
    </w:p>
    <w:p w14:paraId="000000C3">
      <w:pPr>
        <w:spacing w:line="360" w:lineRule="auto"/>
        <w:jc w:val="both"/>
        <w:rPr>
          <w:rFonts w:ascii="Times New Roman" w:cs="Times New Roman" w:hAnsi="Times New Roman"/>
          <w:sz w:val="28"/>
          <w:szCs w:val="28"/>
          <w:lang w:val="en-US"/>
        </w:rPr>
      </w:pPr>
      <w:r>
        <w:rPr>
          <w:rFonts w:ascii="Times New Roman" w:cs="Times New Roman" w:hAnsi="Times New Roman"/>
          <w:sz w:val="28"/>
          <w:szCs w:val="28"/>
          <w:lang w:val="en-US"/>
        </w:rPr>
        <w:t>Two loves I have of comfort and despair,</w:t>
      </w:r>
    </w:p>
    <w:p w14:paraId="000000C4">
      <w:pPr>
        <w:spacing w:line="360" w:lineRule="auto"/>
        <w:jc w:val="both"/>
        <w:rPr>
          <w:rFonts w:ascii="Times New Roman" w:cs="Times New Roman" w:hAnsi="Times New Roman"/>
          <w:sz w:val="28"/>
          <w:szCs w:val="28"/>
          <w:lang w:val="en-US"/>
        </w:rPr>
      </w:pPr>
      <w:r>
        <w:rPr>
          <w:rFonts w:ascii="Times New Roman" w:cs="Times New Roman" w:hAnsi="Times New Roman"/>
          <w:sz w:val="28"/>
          <w:szCs w:val="28"/>
          <w:lang w:val="en-US"/>
        </w:rPr>
        <w:t>Which like two spirits do suggest me still:</w:t>
      </w:r>
    </w:p>
    <w:p w14:paraId="000000C5">
      <w:pPr>
        <w:spacing w:line="360" w:lineRule="auto"/>
        <w:jc w:val="both"/>
        <w:rPr>
          <w:rFonts w:ascii="Times New Roman" w:cs="Times New Roman" w:hAnsi="Times New Roman"/>
          <w:sz w:val="28"/>
          <w:szCs w:val="28"/>
          <w:lang w:val="en-US"/>
        </w:rPr>
      </w:pPr>
      <w:r>
        <w:rPr>
          <w:rFonts w:ascii="Times New Roman" w:cs="Times New Roman" w:hAnsi="Times New Roman"/>
          <w:sz w:val="28"/>
          <w:szCs w:val="28"/>
          <w:lang w:val="en-US"/>
        </w:rPr>
        <w:t>The better angel is a man right fair,</w:t>
      </w:r>
    </w:p>
    <w:p w14:paraId="000000C6">
      <w:pPr>
        <w:spacing w:line="360" w:lineRule="auto"/>
        <w:jc w:val="both"/>
        <w:rPr>
          <w:rFonts w:ascii="Times New Roman" w:cs="Times New Roman" w:hAnsi="Times New Roman"/>
          <w:sz w:val="28"/>
          <w:szCs w:val="28"/>
          <w:lang w:val="en-US"/>
        </w:rPr>
      </w:pPr>
      <w:r>
        <w:rPr>
          <w:rFonts w:ascii="Times New Roman" w:cs="Times New Roman" w:hAnsi="Times New Roman"/>
          <w:sz w:val="28"/>
          <w:szCs w:val="28"/>
          <w:lang w:val="en-US"/>
        </w:rPr>
        <w:t xml:space="preserve">The worser spirit a woman </w:t>
      </w:r>
      <w:r>
        <w:rPr>
          <w:rFonts w:ascii="Times New Roman" w:cs="Times New Roman" w:hAnsi="Times New Roman"/>
          <w:sz w:val="28"/>
          <w:szCs w:val="28"/>
          <w:lang w:val="en-US"/>
        </w:rPr>
        <w:t>color'd</w:t>
      </w:r>
      <w:r>
        <w:rPr>
          <w:rFonts w:ascii="Times New Roman" w:cs="Times New Roman" w:hAnsi="Times New Roman"/>
          <w:sz w:val="28"/>
          <w:szCs w:val="28"/>
          <w:lang w:val="en-US"/>
        </w:rPr>
        <w:t xml:space="preserve"> ill.</w:t>
      </w:r>
    </w:p>
    <w:p w14:paraId="000000C7">
      <w:pPr>
        <w:spacing w:line="360" w:lineRule="auto"/>
        <w:jc w:val="both"/>
        <w:rPr>
          <w:rFonts w:ascii="Times New Roman" w:cs="Times New Roman" w:hAnsi="Times New Roman"/>
          <w:sz w:val="28"/>
          <w:szCs w:val="28"/>
          <w:lang w:val="en-US"/>
        </w:rPr>
      </w:pPr>
      <w:r>
        <w:rPr>
          <w:rFonts w:ascii="Times New Roman" w:cs="Times New Roman" w:hAnsi="Times New Roman"/>
          <w:sz w:val="28"/>
          <w:szCs w:val="28"/>
          <w:lang w:val="en-US"/>
        </w:rPr>
        <w:t>To win me soon to hell, my female evil</w:t>
      </w:r>
    </w:p>
    <w:p w14:paraId="000000C8">
      <w:pPr>
        <w:spacing w:line="360" w:lineRule="auto"/>
        <w:jc w:val="both"/>
        <w:rPr>
          <w:rFonts w:ascii="Times New Roman" w:cs="Times New Roman" w:hAnsi="Times New Roman"/>
          <w:sz w:val="28"/>
          <w:szCs w:val="28"/>
          <w:lang w:val="en-US"/>
        </w:rPr>
      </w:pPr>
      <w:r>
        <w:rPr>
          <w:rFonts w:ascii="Times New Roman" w:cs="Times New Roman" w:hAnsi="Times New Roman"/>
          <w:sz w:val="28"/>
          <w:szCs w:val="28"/>
          <w:lang w:val="en-US"/>
        </w:rPr>
        <w:t>Tempteth</w:t>
      </w:r>
      <w:r>
        <w:rPr>
          <w:rFonts w:ascii="Times New Roman" w:cs="Times New Roman" w:hAnsi="Times New Roman"/>
          <w:sz w:val="28"/>
          <w:szCs w:val="28"/>
          <w:lang w:val="en-US"/>
        </w:rPr>
        <w:t xml:space="preserve"> my better angel from my [side],</w:t>
      </w:r>
    </w:p>
    <w:p w14:paraId="000000C9">
      <w:pPr>
        <w:spacing w:line="360" w:lineRule="auto"/>
        <w:jc w:val="both"/>
        <w:rPr>
          <w:rFonts w:ascii="Times New Roman" w:cs="Times New Roman" w:hAnsi="Times New Roman"/>
          <w:sz w:val="28"/>
          <w:szCs w:val="28"/>
          <w:lang w:val="en-US"/>
        </w:rPr>
      </w:pPr>
      <w:r>
        <w:rPr>
          <w:rFonts w:ascii="Times New Roman" w:cs="Times New Roman" w:hAnsi="Times New Roman"/>
          <w:sz w:val="28"/>
          <w:szCs w:val="28"/>
          <w:lang w:val="en-US"/>
        </w:rPr>
        <w:t>And would corrupt my saint to be a devil,</w:t>
      </w:r>
    </w:p>
    <w:p w14:paraId="000000CA">
      <w:pPr>
        <w:spacing w:line="360" w:lineRule="auto"/>
        <w:jc w:val="both"/>
        <w:rPr>
          <w:rFonts w:ascii="Times New Roman" w:cs="Times New Roman" w:hAnsi="Times New Roman"/>
          <w:sz w:val="28"/>
          <w:szCs w:val="28"/>
          <w:lang w:val="en-US"/>
        </w:rPr>
      </w:pPr>
      <w:r>
        <w:rPr>
          <w:rFonts w:ascii="Times New Roman" w:cs="Times New Roman" w:hAnsi="Times New Roman"/>
          <w:sz w:val="28"/>
          <w:szCs w:val="28"/>
          <w:lang w:val="en-US"/>
        </w:rPr>
        <w:t>Wooing his purity with her foul pride.</w:t>
      </w:r>
    </w:p>
    <w:p w14:paraId="000000CB">
      <w:pPr>
        <w:spacing w:line="360" w:lineRule="auto"/>
        <w:jc w:val="both"/>
        <w:rPr>
          <w:rFonts w:ascii="Times New Roman" w:cs="Times New Roman" w:hAnsi="Times New Roman"/>
          <w:sz w:val="28"/>
          <w:szCs w:val="28"/>
          <w:lang w:val="en-US"/>
        </w:rPr>
      </w:pPr>
      <w:r>
        <w:rPr>
          <w:rFonts w:ascii="Times New Roman" w:cs="Times New Roman" w:hAnsi="Times New Roman"/>
          <w:sz w:val="28"/>
          <w:szCs w:val="28"/>
          <w:lang w:val="en-US"/>
        </w:rPr>
        <w:t xml:space="preserve">And whether that my angel be </w:t>
      </w:r>
      <w:r>
        <w:rPr>
          <w:rFonts w:ascii="Times New Roman" w:cs="Times New Roman" w:hAnsi="Times New Roman"/>
          <w:sz w:val="28"/>
          <w:szCs w:val="28"/>
          <w:lang w:val="en-US"/>
        </w:rPr>
        <w:t>turn'd</w:t>
      </w:r>
      <w:r>
        <w:rPr>
          <w:rFonts w:ascii="Times New Roman" w:cs="Times New Roman" w:hAnsi="Times New Roman"/>
          <w:sz w:val="28"/>
          <w:szCs w:val="28"/>
          <w:lang w:val="en-US"/>
        </w:rPr>
        <w:t xml:space="preserve"> fiend</w:t>
      </w:r>
    </w:p>
    <w:p w14:paraId="000000CC">
      <w:pPr>
        <w:spacing w:line="360" w:lineRule="auto"/>
        <w:jc w:val="both"/>
        <w:rPr>
          <w:rFonts w:ascii="Times New Roman" w:cs="Times New Roman" w:hAnsi="Times New Roman"/>
          <w:sz w:val="28"/>
          <w:szCs w:val="28"/>
          <w:lang w:val="en-US"/>
        </w:rPr>
      </w:pPr>
      <w:r>
        <w:rPr>
          <w:rFonts w:ascii="Times New Roman" w:cs="Times New Roman" w:hAnsi="Times New Roman"/>
          <w:sz w:val="28"/>
          <w:szCs w:val="28"/>
          <w:lang w:val="en-US"/>
        </w:rPr>
        <w:t>Suspect I may, yet not directly tell,</w:t>
      </w:r>
    </w:p>
    <w:p w14:paraId="000000CD">
      <w:pPr>
        <w:spacing w:line="360" w:lineRule="auto"/>
        <w:jc w:val="both"/>
        <w:rPr>
          <w:rFonts w:ascii="Times New Roman" w:cs="Times New Roman" w:hAnsi="Times New Roman"/>
          <w:sz w:val="28"/>
          <w:szCs w:val="28"/>
          <w:lang w:val="en-US"/>
        </w:rPr>
      </w:pPr>
      <w:r>
        <w:rPr>
          <w:rFonts w:ascii="Times New Roman" w:cs="Times New Roman" w:hAnsi="Times New Roman"/>
          <w:sz w:val="28"/>
          <w:szCs w:val="28"/>
          <w:lang w:val="en-US"/>
        </w:rPr>
        <w:t>But being both from me, both to each friend,</w:t>
      </w:r>
    </w:p>
    <w:p w14:paraId="000000CE">
      <w:pPr>
        <w:spacing w:line="360" w:lineRule="auto"/>
        <w:jc w:val="both"/>
        <w:rPr>
          <w:rFonts w:ascii="Times New Roman" w:cs="Times New Roman" w:hAnsi="Times New Roman"/>
          <w:sz w:val="28"/>
          <w:szCs w:val="28"/>
          <w:lang w:val="en-US"/>
        </w:rPr>
      </w:pPr>
      <w:r>
        <w:rPr>
          <w:rFonts w:ascii="Times New Roman" w:cs="Times New Roman" w:hAnsi="Times New Roman"/>
          <w:sz w:val="28"/>
          <w:szCs w:val="28"/>
          <w:lang w:val="en-US"/>
        </w:rPr>
        <w:t>I guess one angel in another's hell.</w:t>
      </w:r>
    </w:p>
    <w:p w14:paraId="000000CF">
      <w:pPr>
        <w:spacing w:line="360" w:lineRule="auto"/>
        <w:jc w:val="both"/>
        <w:rPr>
          <w:rFonts w:ascii="Times New Roman" w:cs="Times New Roman" w:hAnsi="Times New Roman"/>
          <w:sz w:val="28"/>
          <w:szCs w:val="28"/>
          <w:lang w:val="en-US"/>
        </w:rPr>
      </w:pPr>
      <w:r>
        <w:rPr>
          <w:rFonts w:ascii="Times New Roman" w:cs="Times New Roman" w:hAnsi="Times New Roman"/>
          <w:sz w:val="28"/>
          <w:szCs w:val="28"/>
          <w:lang w:val="en-US"/>
        </w:rPr>
        <w:t>Yet this shall I ne'er know, but live in doubt,</w:t>
      </w:r>
    </w:p>
    <w:p w14:paraId="000000D0">
      <w:pPr>
        <w:spacing w:line="360" w:lineRule="auto"/>
        <w:jc w:val="both"/>
        <w:rPr>
          <w:rFonts w:ascii="Times New Roman" w:cs="Times New Roman" w:hAnsi="Times New Roman"/>
          <w:sz w:val="28"/>
          <w:szCs w:val="28"/>
          <w:lang w:val="en-US"/>
        </w:rPr>
      </w:pPr>
      <w:r>
        <w:rPr>
          <w:rFonts w:ascii="Times New Roman" w:cs="Times New Roman" w:hAnsi="Times New Roman"/>
          <w:sz w:val="28"/>
          <w:szCs w:val="28"/>
          <w:lang w:val="en-US"/>
        </w:rPr>
        <w:t>Till my bad angel fire my good one out.</w:t>
      </w:r>
      <w:r>
        <w:rPr>
          <w:rStyle w:val="Footnotereference"/>
          <w:rFonts w:ascii="Times New Roman" w:cs="Times New Roman" w:hAnsi="Times New Roman"/>
          <w:sz w:val="28"/>
          <w:szCs w:val="28"/>
          <w:lang w:val="en-US"/>
        </w:rPr>
        <w:footnoteReference w:id="13"/>
      </w:r>
    </w:p>
    <w:p w14:paraId="000000D1">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 xml:space="preserve">В ходе исследования механизмы </w:t>
      </w:r>
      <w:r>
        <w:rPr>
          <w:rFonts w:ascii="Times New Roman" w:cs="Times New Roman" w:hAnsi="Times New Roman"/>
          <w:sz w:val="28"/>
          <w:szCs w:val="28"/>
        </w:rPr>
        <w:t>Б</w:t>
      </w:r>
      <w:r>
        <w:rPr>
          <w:rFonts w:ascii="Times New Roman" w:cs="Times New Roman" w:hAnsi="Times New Roman"/>
          <w:sz w:val="28"/>
          <w:szCs w:val="28"/>
        </w:rPr>
        <w:t>ольших языковых моделей, в частности архитектуры трансформера (</w:t>
      </w:r>
      <w:r>
        <w:rPr>
          <w:rFonts w:ascii="Times New Roman" w:cs="Times New Roman" w:hAnsi="Times New Roman"/>
          <w:sz w:val="28"/>
          <w:szCs w:val="28"/>
          <w:lang w:val="en-US"/>
        </w:rPr>
        <w:t>transformer)</w:t>
      </w:r>
      <w:r>
        <w:rPr>
          <w:rFonts w:ascii="Times New Roman" w:cs="Times New Roman" w:hAnsi="Times New Roman"/>
          <w:sz w:val="28"/>
          <w:szCs w:val="28"/>
        </w:rPr>
        <w:t xml:space="preserve">, </w:t>
      </w:r>
      <w:r>
        <w:rPr>
          <w:rFonts w:ascii="Times New Roman" w:cs="Times New Roman" w:hAnsi="Times New Roman"/>
          <w:sz w:val="28"/>
          <w:szCs w:val="28"/>
        </w:rPr>
        <w:t xml:space="preserve">были применены для формализации и визуализации скрытых структур текста. На примере сонета Шекспира с помощью механизма </w:t>
      </w:r>
      <w:r>
        <w:rPr>
          <w:rFonts w:ascii="Times New Roman" w:cs="Times New Roman" w:hAnsi="Times New Roman"/>
          <w:sz w:val="28"/>
          <w:szCs w:val="28"/>
          <w:lang w:val="en-US"/>
        </w:rPr>
        <w:t>s</w:t>
      </w:r>
      <w:r>
        <w:rPr>
          <w:rFonts w:ascii="Times New Roman" w:cs="Times New Roman" w:hAnsi="Times New Roman"/>
          <w:sz w:val="28"/>
          <w:szCs w:val="28"/>
        </w:rPr>
        <w:t>elf</w:t>
      </w:r>
      <w:r>
        <w:rPr>
          <w:rFonts w:ascii="Times New Roman" w:cs="Times New Roman" w:hAnsi="Times New Roman"/>
          <w:sz w:val="28"/>
          <w:szCs w:val="28"/>
        </w:rPr>
        <w:t>-</w:t>
      </w:r>
      <w:r>
        <w:rPr>
          <w:rFonts w:ascii="Times New Roman" w:cs="Times New Roman" w:hAnsi="Times New Roman"/>
          <w:sz w:val="28"/>
          <w:szCs w:val="28"/>
          <w:lang w:val="en-US"/>
        </w:rPr>
        <w:t>a</w:t>
      </w:r>
      <w:r>
        <w:rPr>
          <w:rFonts w:ascii="Times New Roman" w:cs="Times New Roman" w:hAnsi="Times New Roman"/>
          <w:sz w:val="28"/>
          <w:szCs w:val="28"/>
        </w:rPr>
        <w:t>ttention (самовнимания)</w:t>
      </w:r>
      <w:r>
        <w:rPr>
          <w:rFonts w:ascii="Times New Roman" w:cs="Times New Roman" w:hAnsi="Times New Roman"/>
          <w:sz w:val="28"/>
          <w:szCs w:val="28"/>
        </w:rPr>
        <w:t xml:space="preserve"> была вычислена попарная значимость всех слов в последовательности, что позволило выявить и ранжировать ключевые бинарные оппозиции (например, «</w:t>
      </w:r>
      <w:r>
        <w:rPr>
          <w:rFonts w:ascii="Times New Roman" w:cs="Times New Roman" w:hAnsi="Times New Roman"/>
          <w:sz w:val="28"/>
          <w:szCs w:val="28"/>
        </w:rPr>
        <w:t>comfort</w:t>
      </w:r>
      <w:r>
        <w:rPr>
          <w:rFonts w:ascii="Times New Roman" w:cs="Times New Roman" w:hAnsi="Times New Roman"/>
          <w:sz w:val="28"/>
          <w:szCs w:val="28"/>
        </w:rPr>
        <w:t xml:space="preserve"> — </w:t>
      </w:r>
      <w:r>
        <w:rPr>
          <w:rFonts w:ascii="Times New Roman" w:cs="Times New Roman" w:hAnsi="Times New Roman"/>
          <w:sz w:val="28"/>
          <w:szCs w:val="28"/>
        </w:rPr>
        <w:t>despair</w:t>
      </w:r>
      <w:r>
        <w:rPr>
          <w:rFonts w:ascii="Times New Roman" w:cs="Times New Roman" w:hAnsi="Times New Roman"/>
          <w:sz w:val="28"/>
          <w:szCs w:val="28"/>
        </w:rPr>
        <w:t>», «</w:t>
      </w:r>
      <w:r>
        <w:rPr>
          <w:rFonts w:ascii="Times New Roman" w:cs="Times New Roman" w:hAnsi="Times New Roman"/>
          <w:sz w:val="28"/>
          <w:szCs w:val="28"/>
        </w:rPr>
        <w:t>saint</w:t>
      </w:r>
      <w:r>
        <w:rPr>
          <w:rFonts w:ascii="Times New Roman" w:cs="Times New Roman" w:hAnsi="Times New Roman"/>
          <w:sz w:val="28"/>
          <w:szCs w:val="28"/>
        </w:rPr>
        <w:t xml:space="preserve"> — </w:t>
      </w:r>
      <w:r>
        <w:rPr>
          <w:rFonts w:ascii="Times New Roman" w:cs="Times New Roman" w:hAnsi="Times New Roman"/>
          <w:sz w:val="28"/>
          <w:szCs w:val="28"/>
        </w:rPr>
        <w:t>devil</w:t>
      </w:r>
      <w:r>
        <w:rPr>
          <w:rFonts w:ascii="Times New Roman" w:cs="Times New Roman" w:hAnsi="Times New Roman"/>
          <w:sz w:val="28"/>
          <w:szCs w:val="28"/>
        </w:rPr>
        <w:t xml:space="preserve">»). Затем на основе этих данных был </w:t>
      </w:r>
      <w:r>
        <w:rPr>
          <w:rFonts w:ascii="Times New Roman" w:cs="Times New Roman" w:hAnsi="Times New Roman"/>
          <w:sz w:val="28"/>
          <w:szCs w:val="28"/>
        </w:rPr>
        <w:t>построен граф</w:t>
      </w:r>
      <w:r>
        <w:rPr>
          <w:rFonts w:ascii="Times New Roman" w:cs="Times New Roman" w:hAnsi="Times New Roman"/>
          <w:sz w:val="28"/>
          <w:szCs w:val="28"/>
        </w:rPr>
        <w:t xml:space="preserve"> связей, где узлы представляли концепты, а взвешенные ребра — силу их семантических и нарративных отношений. Этот граф наглядно продемонстрировал нестабильность </w:t>
      </w:r>
      <w:r>
        <w:rPr>
          <w:rFonts w:ascii="Times New Roman" w:cs="Times New Roman" w:hAnsi="Times New Roman"/>
          <w:sz w:val="28"/>
          <w:szCs w:val="28"/>
        </w:rPr>
        <w:t>оппозиций и процессы их взаимного размывания, что было интерпретировано через концепт одновременного сходства и различия (</w:t>
      </w:r>
      <w:r>
        <w:rPr>
          <w:rFonts w:ascii="Times New Roman" w:cs="Times New Roman" w:hAnsi="Times New Roman"/>
          <w:sz w:val="28"/>
          <w:szCs w:val="28"/>
        </w:rPr>
        <w:t xml:space="preserve">différance) </w:t>
      </w:r>
      <w:r>
        <w:rPr>
          <w:rFonts w:ascii="Times New Roman" w:cs="Times New Roman" w:hAnsi="Times New Roman"/>
          <w:sz w:val="28"/>
          <w:szCs w:val="28"/>
        </w:rPr>
        <w:t>Жака Деррида</w:t>
      </w:r>
      <w:r>
        <w:rPr>
          <w:rFonts w:ascii="Times New Roman" w:cs="Times New Roman" w:hAnsi="Times New Roman"/>
          <w:sz w:val="28"/>
          <w:szCs w:val="28"/>
        </w:rPr>
        <w:t>.</w:t>
      </w:r>
    </w:p>
    <w:p w14:paraId="000000D2">
      <w:pPr>
        <w:spacing w:line="360" w:lineRule="auto"/>
        <w:jc w:val="both"/>
        <w:rPr>
          <w:rFonts w:ascii="Times New Roman" w:cs="Times New Roman" w:hAnsi="Times New Roman"/>
          <w:sz w:val="28"/>
          <w:szCs w:val="28"/>
        </w:rPr>
      </w:pPr>
    </w:p>
    <w:p w14:paraId="000000D3">
      <w:pPr>
        <w:spacing w:line="360" w:lineRule="auto"/>
        <w:jc w:val="both"/>
        <w:rPr>
          <w:rFonts w:ascii="Times New Roman" w:cs="Times New Roman" w:hAnsi="Times New Roman"/>
          <w:sz w:val="28"/>
          <w:szCs w:val="28"/>
        </w:rPr>
      </w:pPr>
      <w:r>
        <w:rPr>
          <w:rFonts w:ascii="Times New Roman" w:cs="Times New Roman" w:hAnsi="Times New Roman"/>
          <w:sz w:val="28"/>
          <w:szCs w:val="28"/>
        </w:rPr>
        <w:t xml:space="preserve">Рис. 2. Бинарные оппозиции 144 сонета Шекспира (механизм самовнимания, </w:t>
      </w:r>
      <w:r>
        <w:rPr>
          <w:rFonts w:ascii="Times New Roman" w:cs="Times New Roman" w:hAnsi="Times New Roman"/>
          <w:sz w:val="28"/>
          <w:szCs w:val="28"/>
          <w:lang w:val="en-US"/>
        </w:rPr>
        <w:t>self</w:t>
      </w:r>
      <w:r>
        <w:rPr>
          <w:rFonts w:ascii="Times New Roman" w:cs="Times New Roman" w:hAnsi="Times New Roman"/>
          <w:sz w:val="28"/>
          <w:szCs w:val="28"/>
        </w:rPr>
        <w:t>-</w:t>
      </w:r>
      <w:r>
        <w:rPr>
          <w:rFonts w:ascii="Times New Roman" w:cs="Times New Roman" w:hAnsi="Times New Roman"/>
          <w:sz w:val="28"/>
          <w:szCs w:val="28"/>
          <w:lang w:val="en-US"/>
        </w:rPr>
        <w:t>attention</w:t>
      </w:r>
      <w:r>
        <w:rPr>
          <w:rFonts w:ascii="Times New Roman" w:cs="Times New Roman" w:hAnsi="Times New Roman"/>
          <w:sz w:val="28"/>
          <w:szCs w:val="28"/>
        </w:rPr>
        <w:t xml:space="preserve"> </w:t>
      </w:r>
      <w:r>
        <w:rPr>
          <w:rFonts w:ascii="Times New Roman" w:cs="Times New Roman" w:hAnsi="Times New Roman"/>
          <w:sz w:val="28"/>
          <w:szCs w:val="28"/>
          <w:lang w:val="en-US"/>
        </w:rPr>
        <w:t>tool</w:t>
      </w:r>
      <w:r>
        <w:rPr>
          <w:rFonts w:ascii="Times New Roman" w:cs="Times New Roman" w:hAnsi="Times New Roman"/>
          <w:sz w:val="28"/>
          <w:szCs w:val="28"/>
        </w:rPr>
        <w:t>)</w:t>
      </w:r>
    </w:p>
    <w:p w14:paraId="000000D4">
      <w:pPr>
        <w:spacing w:line="360" w:lineRule="auto"/>
        <w:jc w:val="center"/>
        <w:rPr>
          <w:rFonts w:ascii="Times New Roman" w:cs="Times New Roman" w:hAnsi="Times New Roman"/>
          <w:sz w:val="28"/>
          <w:szCs w:val="28"/>
        </w:rPr>
      </w:pPr>
      <w:r>
        <w:rPr>
          <w:rFonts w:ascii="Times New Roman" w:cs="Times New Roman" w:hAnsi="Times New Roman"/>
          <w:sz w:val="28"/>
          <w:szCs w:val="28"/>
        </w:rPr>
        <w:drawing xmlns:mc="http://schemas.openxmlformats.org/markup-compatibility/2006">
          <wp:inline distT="0" distB="0" distL="0" distR="0">
            <wp:extent cx="5940425" cy="3987165"/>
            <wp:effectExtent l="0" t="0" r="0" b="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30"/>
                    <a:srcRect/>
                    <a:stretch>
                      <a:fillRect/>
                    </a:stretch>
                  </pic:blipFill>
                  <pic:spPr>
                    <a:xfrm>
                      <a:off x="0" y="0"/>
                      <a:ext cx="5940425" cy="3987165"/>
                    </a:xfrm>
                    <a:prstGeom prst="rect">
                      <a:avLst/>
                    </a:prstGeom>
                    <a:noFill/>
                    <a:ln>
                      <a:noFill/>
                    </a:ln>
                  </pic:spPr>
                </pic:pic>
              </a:graphicData>
            </a:graphic>
          </wp:inline>
        </w:drawing>
      </w:r>
      <w:r>
        <w:rPr>
          <w:rFonts w:ascii="Times New Roman" w:cs="Times New Roman" w:hAnsi="Times New Roman"/>
          <w:sz w:val="28"/>
          <w:szCs w:val="28"/>
        </w:rPr>
        <w:t>(</w:t>
      </w:r>
      <w:r>
        <w:rPr>
          <w:rFonts w:ascii="Times New Roman" w:cs="Times New Roman" w:hAnsi="Times New Roman"/>
          <w:sz w:val="28"/>
          <w:szCs w:val="28"/>
          <w:lang w:val="en-US"/>
        </w:rPr>
        <w:t>DeepSeek</w:t>
      </w:r>
      <w:r>
        <w:rPr>
          <w:rFonts w:ascii="Times New Roman" w:cs="Times New Roman" w:hAnsi="Times New Roman"/>
          <w:sz w:val="28"/>
          <w:szCs w:val="28"/>
        </w:rPr>
        <w:t xml:space="preserve"> </w:t>
      </w:r>
      <w:r>
        <w:rPr>
          <w:rFonts w:ascii="Times New Roman" w:cs="Times New Roman" w:hAnsi="Times New Roman"/>
          <w:sz w:val="28"/>
          <w:szCs w:val="28"/>
          <w:lang w:val="en-US"/>
        </w:rPr>
        <w:t>R</w:t>
      </w:r>
      <w:r>
        <w:rPr>
          <w:rFonts w:ascii="Times New Roman" w:cs="Times New Roman" w:hAnsi="Times New Roman"/>
          <w:sz w:val="28"/>
          <w:szCs w:val="28"/>
        </w:rPr>
        <w:t>1: 10/11/2025)</w:t>
      </w:r>
    </w:p>
    <w:p w14:paraId="000000D5">
      <w:pPr>
        <w:spacing w:line="360" w:lineRule="auto"/>
        <w:jc w:val="both"/>
        <w:rPr>
          <w:rFonts w:ascii="Times New Roman" w:cs="Times New Roman" w:hAnsi="Times New Roman"/>
          <w:sz w:val="28"/>
          <w:szCs w:val="28"/>
        </w:rPr>
      </w:pPr>
    </w:p>
    <w:p w14:paraId="000000D6">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Данный анализ рассматривает структуру сонета не как статичную оппозицию добра и зла, а как динамическую систему, где значение ключевых элементов постоянно находится в процессе становления и смещения. Этот подход перекликается с философскими идеями Жака Деррида о природе смысла.</w:t>
      </w:r>
    </w:p>
    <w:p w14:paraId="000000D7">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 xml:space="preserve">Граф наглядно демонстрирует, что изначально четкие противопоставления (свет/тьма, добро/зло) оказываются зыбкими. Ключевой точкой нестабильности является центральная фигура «лучшего ангела», чья сущность не зафиксирована. Его потенциальная метаморфоза из «друга» </w:t>
      </w:r>
      <w:r>
        <w:rPr>
          <w:rFonts w:ascii="Times New Roman" w:cs="Times New Roman" w:hAnsi="Times New Roman"/>
          <w:sz w:val="28"/>
          <w:szCs w:val="28"/>
        </w:rPr>
        <w:t>(</w:t>
      </w:r>
      <w:r>
        <w:rPr>
          <w:rFonts w:ascii="Times New Roman" w:cs="Times New Roman" w:hAnsi="Times New Roman"/>
          <w:sz w:val="28"/>
          <w:szCs w:val="28"/>
        </w:rPr>
        <w:t>friend</w:t>
      </w:r>
      <w:r>
        <w:rPr>
          <w:rFonts w:ascii="Times New Roman" w:cs="Times New Roman" w:hAnsi="Times New Roman"/>
          <w:sz w:val="28"/>
          <w:szCs w:val="28"/>
        </w:rPr>
        <w:t>) в «дьявола» (</w:t>
      </w:r>
      <w:r>
        <w:rPr>
          <w:rFonts w:ascii="Times New Roman" w:cs="Times New Roman" w:hAnsi="Times New Roman"/>
          <w:sz w:val="28"/>
          <w:szCs w:val="28"/>
        </w:rPr>
        <w:t>fiend</w:t>
      </w:r>
      <w:r>
        <w:rPr>
          <w:rFonts w:ascii="Times New Roman" w:cs="Times New Roman" w:hAnsi="Times New Roman"/>
          <w:sz w:val="28"/>
          <w:szCs w:val="28"/>
        </w:rPr>
        <w:t>), обыгранная в тексте, подрывает саму основу бинарной модели. Пунктирные линии на графе символизируют это активное размывание границ, где «женское зло» не просто противостоит «ангелу», но участвует в его трансформации, стирая грань между святым и грешным.</w:t>
      </w:r>
      <w:r>
        <w:rPr>
          <w:rFonts w:ascii="Times New Roman" w:cs="Times New Roman" w:hAnsi="Times New Roman"/>
          <w:sz w:val="28"/>
          <w:szCs w:val="28"/>
        </w:rPr>
        <w:br w:type="textWrapping"/>
      </w:r>
      <w:r>
        <w:rPr>
          <w:rFonts w:ascii="Times New Roman" w:cs="Times New Roman" w:hAnsi="Times New Roman"/>
          <w:sz w:val="28"/>
          <w:szCs w:val="28"/>
        </w:rPr>
        <w:t xml:space="preserve">Значение ключевых образов не является </w:t>
      </w:r>
      <w:r>
        <w:rPr>
          <w:rFonts w:ascii="Times New Roman" w:cs="Times New Roman" w:hAnsi="Times New Roman"/>
          <w:sz w:val="28"/>
          <w:szCs w:val="28"/>
        </w:rPr>
        <w:t>самотождественным</w:t>
      </w:r>
      <w:r>
        <w:rPr>
          <w:rFonts w:ascii="Times New Roman" w:cs="Times New Roman" w:hAnsi="Times New Roman"/>
          <w:sz w:val="28"/>
          <w:szCs w:val="28"/>
        </w:rPr>
        <w:t xml:space="preserve">, а скорее «отсрочено» — оно зависит от их отношений с другими элементами и культурными контекстами. Фигуры сонета отсылают к более широким культурным кодам. В образе «женщины» просматриваются следы библейской Евы, а «мужчина прекрасного видом» отсылает к неоплатоническому идеалу. Текст </w:t>
      </w:r>
      <w:r>
        <w:rPr>
          <w:rFonts w:ascii="Times New Roman" w:cs="Times New Roman" w:hAnsi="Times New Roman"/>
          <w:sz w:val="28"/>
          <w:szCs w:val="28"/>
        </w:rPr>
        <w:t xml:space="preserve">таким образом </w:t>
      </w:r>
      <w:r>
        <w:rPr>
          <w:rFonts w:ascii="Times New Roman" w:cs="Times New Roman" w:hAnsi="Times New Roman"/>
          <w:sz w:val="28"/>
          <w:szCs w:val="28"/>
        </w:rPr>
        <w:t>предстает как палимпсест, в котором проступают слои предыдущих текстов и представлений (средневековая мораль, ренессансный гуманизм). Смысл не сконцентрирован в одном элементе, а рассеян по метонимическим цепочкам. Левая колонка графа выстраивает цепь: «Дух → Тело → Статус → Чувство → Место» (Ангел, Мужчина, Святой...), а правая — ее инверсию. Анализ одной такой цепочки, например, «</w:t>
      </w:r>
      <w:r>
        <w:rPr>
          <w:rFonts w:ascii="Times New Roman" w:cs="Times New Roman" w:hAnsi="Times New Roman"/>
          <w:sz w:val="28"/>
          <w:szCs w:val="28"/>
        </w:rPr>
        <w:t>worser</w:t>
      </w:r>
      <w:r>
        <w:rPr>
          <w:rFonts w:ascii="Times New Roman" w:cs="Times New Roman" w:hAnsi="Times New Roman"/>
          <w:sz w:val="28"/>
          <w:szCs w:val="28"/>
        </w:rPr>
        <w:t xml:space="preserve"> </w:t>
      </w:r>
      <w:r>
        <w:rPr>
          <w:rFonts w:ascii="Times New Roman" w:cs="Times New Roman" w:hAnsi="Times New Roman"/>
          <w:sz w:val="28"/>
          <w:szCs w:val="28"/>
        </w:rPr>
        <w:t>spirit</w:t>
      </w:r>
      <w:r>
        <w:rPr>
          <w:rFonts w:ascii="Times New Roman" w:cs="Times New Roman" w:hAnsi="Times New Roman"/>
          <w:sz w:val="28"/>
          <w:szCs w:val="28"/>
        </w:rPr>
        <w:t xml:space="preserve"> → </w:t>
      </w:r>
      <w:r>
        <w:rPr>
          <w:rFonts w:ascii="Times New Roman" w:cs="Times New Roman" w:hAnsi="Times New Roman"/>
          <w:sz w:val="28"/>
          <w:szCs w:val="28"/>
        </w:rPr>
        <w:t>woman</w:t>
      </w:r>
      <w:r>
        <w:rPr>
          <w:rFonts w:ascii="Times New Roman" w:cs="Times New Roman" w:hAnsi="Times New Roman"/>
          <w:sz w:val="28"/>
          <w:szCs w:val="28"/>
        </w:rPr>
        <w:t xml:space="preserve"> </w:t>
      </w:r>
      <w:r>
        <w:rPr>
          <w:rFonts w:ascii="Times New Roman" w:cs="Times New Roman" w:hAnsi="Times New Roman"/>
          <w:sz w:val="28"/>
          <w:szCs w:val="28"/>
        </w:rPr>
        <w:t>colour'd</w:t>
      </w:r>
      <w:r>
        <w:rPr>
          <w:rFonts w:ascii="Times New Roman" w:cs="Times New Roman" w:hAnsi="Times New Roman"/>
          <w:sz w:val="28"/>
          <w:szCs w:val="28"/>
        </w:rPr>
        <w:t xml:space="preserve"> </w:t>
      </w:r>
      <w:r>
        <w:rPr>
          <w:rFonts w:ascii="Times New Roman" w:cs="Times New Roman" w:hAnsi="Times New Roman"/>
          <w:sz w:val="28"/>
          <w:szCs w:val="28"/>
        </w:rPr>
        <w:t>ill</w:t>
      </w:r>
      <w:r>
        <w:rPr>
          <w:rFonts w:ascii="Times New Roman" w:cs="Times New Roman" w:hAnsi="Times New Roman"/>
          <w:sz w:val="28"/>
          <w:szCs w:val="28"/>
        </w:rPr>
        <w:t xml:space="preserve"> → </w:t>
      </w:r>
      <w:r>
        <w:rPr>
          <w:rFonts w:ascii="Times New Roman" w:cs="Times New Roman" w:hAnsi="Times New Roman"/>
          <w:sz w:val="28"/>
          <w:szCs w:val="28"/>
        </w:rPr>
        <w:t>female</w:t>
      </w:r>
      <w:r>
        <w:rPr>
          <w:rFonts w:ascii="Times New Roman" w:cs="Times New Roman" w:hAnsi="Times New Roman"/>
          <w:sz w:val="28"/>
          <w:szCs w:val="28"/>
        </w:rPr>
        <w:t xml:space="preserve"> </w:t>
      </w:r>
      <w:r>
        <w:rPr>
          <w:rFonts w:ascii="Times New Roman" w:cs="Times New Roman" w:hAnsi="Times New Roman"/>
          <w:sz w:val="28"/>
          <w:szCs w:val="28"/>
        </w:rPr>
        <w:t>evil</w:t>
      </w:r>
      <w:r>
        <w:rPr>
          <w:rFonts w:ascii="Times New Roman" w:cs="Times New Roman" w:hAnsi="Times New Roman"/>
          <w:sz w:val="28"/>
          <w:szCs w:val="28"/>
        </w:rPr>
        <w:t xml:space="preserve"> → </w:t>
      </w:r>
      <w:r>
        <w:rPr>
          <w:rFonts w:ascii="Times New Roman" w:cs="Times New Roman" w:hAnsi="Times New Roman"/>
          <w:sz w:val="28"/>
          <w:szCs w:val="28"/>
        </w:rPr>
        <w:t>devil</w:t>
      </w:r>
      <w:r>
        <w:rPr>
          <w:rFonts w:ascii="Times New Roman" w:cs="Times New Roman" w:hAnsi="Times New Roman"/>
          <w:sz w:val="28"/>
          <w:szCs w:val="28"/>
        </w:rPr>
        <w:t xml:space="preserve"> → </w:t>
      </w:r>
      <w:r>
        <w:rPr>
          <w:rFonts w:ascii="Times New Roman" w:cs="Times New Roman" w:hAnsi="Times New Roman"/>
          <w:sz w:val="28"/>
          <w:szCs w:val="28"/>
        </w:rPr>
        <w:t>hell</w:t>
      </w:r>
      <w:r>
        <w:rPr>
          <w:rFonts w:ascii="Times New Roman" w:cs="Times New Roman" w:hAnsi="Times New Roman"/>
          <w:sz w:val="28"/>
          <w:szCs w:val="28"/>
        </w:rPr>
        <w:t>», показывает, что ни один из этих элементов не содержит окончательного значения «зла». Каждое понятие является лишь частью (</w:t>
      </w:r>
      <w:r>
        <w:rPr>
          <w:rFonts w:ascii="Times New Roman" w:cs="Times New Roman" w:hAnsi="Times New Roman"/>
          <w:sz w:val="28"/>
          <w:szCs w:val="28"/>
        </w:rPr>
        <w:t>меронимом</w:t>
      </w:r>
      <w:r>
        <w:rPr>
          <w:rFonts w:ascii="Times New Roman" w:cs="Times New Roman" w:hAnsi="Times New Roman"/>
          <w:sz w:val="28"/>
          <w:szCs w:val="28"/>
        </w:rPr>
        <w:t>) более общей, но не сформулированной напрямую, смысловой сети.</w:t>
      </w:r>
    </w:p>
    <w:p w14:paraId="000000D8">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Сходные результаты были получены при несколько ином подходе:</w:t>
      </w:r>
    </w:p>
    <w:p w14:paraId="000000D9">
      <w:pPr>
        <w:spacing w:line="360" w:lineRule="auto"/>
        <w:ind w:firstLine="708"/>
        <w:jc w:val="both"/>
        <w:rPr>
          <w:rFonts w:ascii="Times New Roman" w:cs="Times New Roman" w:hAnsi="Times New Roman"/>
          <w:sz w:val="28"/>
          <w:szCs w:val="28"/>
        </w:rPr>
      </w:pPr>
      <w:r>
        <w:rPr>
          <w:rStyle w:val="Footnotereference"/>
          <w:rFonts w:ascii="Times New Roman" w:cs="Times New Roman" w:hAnsi="Times New Roman"/>
          <w:sz w:val="28"/>
          <w:szCs w:val="28"/>
        </w:rPr>
        <w:footnoteReference w:id="14"/>
      </w:r>
      <w:r>
        <w:rPr>
          <w:rFonts w:ascii="Times New Roman" w:cs="Times New Roman" w:hAnsi="Times New Roman"/>
          <w:sz w:val="28"/>
          <w:szCs w:val="28"/>
        </w:rPr>
        <w:t>В целом, анализ можно разделить на две части. Первая — это работа с положениями Жака Деррида о деконструкции текста и различении (</w:t>
      </w:r>
      <w:r>
        <w:rPr>
          <w:rFonts w:ascii="Times New Roman" w:cs="Times New Roman" w:hAnsi="Times New Roman"/>
          <w:sz w:val="28"/>
          <w:szCs w:val="28"/>
        </w:rPr>
        <w:t>différance</w:t>
      </w:r>
      <w:r>
        <w:rPr>
          <w:rFonts w:ascii="Times New Roman" w:cs="Times New Roman" w:hAnsi="Times New Roman"/>
          <w:sz w:val="28"/>
          <w:szCs w:val="28"/>
        </w:rPr>
        <w:t xml:space="preserve">). Вторая — сравнение оригинального текста с переводом Модеста Чайковского. Для анализа была выбрана языковая модель </w:t>
      </w:r>
      <w:r>
        <w:rPr>
          <w:rFonts w:ascii="Times New Roman" w:cs="Times New Roman" w:hAnsi="Times New Roman"/>
          <w:sz w:val="28"/>
          <w:szCs w:val="28"/>
        </w:rPr>
        <w:t>DeepSeek</w:t>
      </w:r>
      <w:r>
        <w:rPr>
          <w:rFonts w:ascii="Times New Roman" w:cs="Times New Roman" w:hAnsi="Times New Roman"/>
          <w:sz w:val="28"/>
          <w:szCs w:val="28"/>
        </w:rPr>
        <w:t xml:space="preserve">, что обусловлено доступностью модели и простотой ее использования. В качестве материала исследования был выбран сонет Шекспира 144. </w:t>
      </w:r>
    </w:p>
    <w:p w14:paraId="000000DA">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 xml:space="preserve">Прежде чем обращаться к положениям, представленным Жаком Деррида, мы нашли пары ключевых оппозиций при помощи модели (через </w:t>
      </w:r>
      <w:r>
        <w:rPr>
          <w:rFonts w:ascii="Times New Roman" w:cs="Times New Roman" w:hAnsi="Times New Roman"/>
          <w:sz w:val="28"/>
          <w:szCs w:val="28"/>
        </w:rPr>
        <w:t>запрос "</w:t>
      </w:r>
      <w:r>
        <w:rPr>
          <w:rFonts w:ascii="Times New Roman" w:cs="Times New Roman" w:hAnsi="Times New Roman"/>
          <w:sz w:val="28"/>
          <w:szCs w:val="28"/>
        </w:rPr>
        <w:t>find</w:t>
      </w:r>
      <w:r>
        <w:rPr>
          <w:rFonts w:ascii="Times New Roman" w:cs="Times New Roman" w:hAnsi="Times New Roman"/>
          <w:sz w:val="28"/>
          <w:szCs w:val="28"/>
        </w:rPr>
        <w:t xml:space="preserve"> </w:t>
      </w:r>
      <w:r>
        <w:rPr>
          <w:rFonts w:ascii="Times New Roman" w:cs="Times New Roman" w:hAnsi="Times New Roman"/>
          <w:sz w:val="28"/>
          <w:szCs w:val="28"/>
        </w:rPr>
        <w:t>oppositions</w:t>
      </w:r>
      <w:r>
        <w:rPr>
          <w:rFonts w:ascii="Times New Roman" w:cs="Times New Roman" w:hAnsi="Times New Roman"/>
          <w:sz w:val="28"/>
          <w:szCs w:val="28"/>
        </w:rPr>
        <w:t xml:space="preserve"> </w:t>
      </w:r>
      <w:r>
        <w:rPr>
          <w:rFonts w:ascii="Times New Roman" w:cs="Times New Roman" w:hAnsi="Times New Roman"/>
          <w:sz w:val="28"/>
          <w:szCs w:val="28"/>
        </w:rPr>
        <w:t>in</w:t>
      </w:r>
      <w:r>
        <w:rPr>
          <w:rFonts w:ascii="Times New Roman" w:cs="Times New Roman" w:hAnsi="Times New Roman"/>
          <w:sz w:val="28"/>
          <w:szCs w:val="28"/>
        </w:rPr>
        <w:t xml:space="preserve"> </w:t>
      </w:r>
      <w:r>
        <w:rPr>
          <w:rFonts w:ascii="Times New Roman" w:cs="Times New Roman" w:hAnsi="Times New Roman"/>
          <w:sz w:val="28"/>
          <w:szCs w:val="28"/>
        </w:rPr>
        <w:t>the</w:t>
      </w:r>
      <w:r>
        <w:rPr>
          <w:rFonts w:ascii="Times New Roman" w:cs="Times New Roman" w:hAnsi="Times New Roman"/>
          <w:sz w:val="28"/>
          <w:szCs w:val="28"/>
        </w:rPr>
        <w:t xml:space="preserve"> </w:t>
      </w:r>
      <w:r>
        <w:rPr>
          <w:rFonts w:ascii="Times New Roman" w:cs="Times New Roman" w:hAnsi="Times New Roman"/>
          <w:sz w:val="28"/>
          <w:szCs w:val="28"/>
        </w:rPr>
        <w:t>following</w:t>
      </w:r>
      <w:r>
        <w:rPr>
          <w:rFonts w:ascii="Times New Roman" w:cs="Times New Roman" w:hAnsi="Times New Roman"/>
          <w:sz w:val="28"/>
          <w:szCs w:val="28"/>
        </w:rPr>
        <w:t xml:space="preserve"> </w:t>
      </w:r>
      <w:r>
        <w:rPr>
          <w:rFonts w:ascii="Times New Roman" w:cs="Times New Roman" w:hAnsi="Times New Roman"/>
          <w:sz w:val="28"/>
          <w:szCs w:val="28"/>
        </w:rPr>
        <w:t>sonet</w:t>
      </w:r>
      <w:r>
        <w:rPr>
          <w:rFonts w:ascii="Times New Roman" w:cs="Times New Roman" w:hAnsi="Times New Roman"/>
          <w:sz w:val="28"/>
          <w:szCs w:val="28"/>
        </w:rPr>
        <w:t>"). Затем</w:t>
      </w:r>
      <w:r>
        <w:rPr>
          <w:rFonts w:ascii="Times New Roman" w:cs="Times New Roman" w:hAnsi="Times New Roman"/>
          <w:sz w:val="28"/>
          <w:szCs w:val="28"/>
          <w:lang w:val="en-US"/>
        </w:rPr>
        <w:t xml:space="preserve">, </w:t>
      </w:r>
      <w:r>
        <w:rPr>
          <w:rFonts w:ascii="Times New Roman" w:cs="Times New Roman" w:hAnsi="Times New Roman"/>
          <w:sz w:val="28"/>
          <w:szCs w:val="28"/>
        </w:rPr>
        <w:t>отобрав</w:t>
      </w:r>
      <w:r>
        <w:rPr>
          <w:rFonts w:ascii="Times New Roman" w:cs="Times New Roman" w:hAnsi="Times New Roman"/>
          <w:sz w:val="28"/>
          <w:szCs w:val="28"/>
          <w:lang w:val="en-US"/>
        </w:rPr>
        <w:t xml:space="preserve"> </w:t>
      </w:r>
      <w:r>
        <w:rPr>
          <w:rFonts w:ascii="Times New Roman" w:cs="Times New Roman" w:hAnsi="Times New Roman"/>
          <w:sz w:val="28"/>
          <w:szCs w:val="28"/>
        </w:rPr>
        <w:t>две</w:t>
      </w:r>
      <w:r>
        <w:rPr>
          <w:rFonts w:ascii="Times New Roman" w:cs="Times New Roman" w:hAnsi="Times New Roman"/>
          <w:sz w:val="28"/>
          <w:szCs w:val="28"/>
          <w:lang w:val="en-US"/>
        </w:rPr>
        <w:t xml:space="preserve"> </w:t>
      </w:r>
      <w:r>
        <w:rPr>
          <w:rFonts w:ascii="Times New Roman" w:cs="Times New Roman" w:hAnsi="Times New Roman"/>
          <w:sz w:val="28"/>
          <w:szCs w:val="28"/>
        </w:rPr>
        <w:t>пары</w:t>
      </w:r>
      <w:r>
        <w:rPr>
          <w:rFonts w:ascii="Times New Roman" w:cs="Times New Roman" w:hAnsi="Times New Roman"/>
          <w:sz w:val="28"/>
          <w:szCs w:val="28"/>
          <w:lang w:val="en-US"/>
        </w:rPr>
        <w:t xml:space="preserve"> — purity </w:t>
      </w:r>
      <w:r>
        <w:rPr>
          <w:rFonts w:ascii="Times New Roman" w:cs="Times New Roman" w:hAnsi="Times New Roman"/>
          <w:sz w:val="28"/>
          <w:szCs w:val="28"/>
        </w:rPr>
        <w:t>и</w:t>
      </w:r>
      <w:r>
        <w:rPr>
          <w:rFonts w:ascii="Times New Roman" w:cs="Times New Roman" w:hAnsi="Times New Roman"/>
          <w:sz w:val="28"/>
          <w:szCs w:val="28"/>
          <w:lang w:val="en-US"/>
        </w:rPr>
        <w:t xml:space="preserve"> foul pride, angel </w:t>
      </w:r>
      <w:r>
        <w:rPr>
          <w:rFonts w:ascii="Times New Roman" w:cs="Times New Roman" w:hAnsi="Times New Roman"/>
          <w:sz w:val="28"/>
          <w:szCs w:val="28"/>
        </w:rPr>
        <w:t>и</w:t>
      </w:r>
      <w:r>
        <w:rPr>
          <w:rFonts w:ascii="Times New Roman" w:cs="Times New Roman" w:hAnsi="Times New Roman"/>
          <w:sz w:val="28"/>
          <w:szCs w:val="28"/>
          <w:lang w:val="en-US"/>
        </w:rPr>
        <w:t xml:space="preserve"> fiend, — </w:t>
      </w:r>
      <w:r>
        <w:rPr>
          <w:rFonts w:ascii="Times New Roman" w:cs="Times New Roman" w:hAnsi="Times New Roman"/>
          <w:sz w:val="28"/>
          <w:szCs w:val="28"/>
        </w:rPr>
        <w:t>мы</w:t>
      </w:r>
      <w:r>
        <w:rPr>
          <w:rFonts w:ascii="Times New Roman" w:cs="Times New Roman" w:hAnsi="Times New Roman"/>
          <w:sz w:val="28"/>
          <w:szCs w:val="28"/>
          <w:lang w:val="en-US"/>
        </w:rPr>
        <w:t xml:space="preserve"> </w:t>
      </w:r>
      <w:r>
        <w:rPr>
          <w:rFonts w:ascii="Times New Roman" w:cs="Times New Roman" w:hAnsi="Times New Roman"/>
          <w:sz w:val="28"/>
          <w:szCs w:val="28"/>
        </w:rPr>
        <w:t>применили</w:t>
      </w:r>
      <w:r>
        <w:rPr>
          <w:rFonts w:ascii="Times New Roman" w:cs="Times New Roman" w:hAnsi="Times New Roman"/>
          <w:sz w:val="28"/>
          <w:szCs w:val="28"/>
          <w:lang w:val="en-US"/>
        </w:rPr>
        <w:t xml:space="preserve"> </w:t>
      </w:r>
      <w:r>
        <w:rPr>
          <w:rFonts w:ascii="Times New Roman" w:cs="Times New Roman" w:hAnsi="Times New Roman"/>
          <w:sz w:val="28"/>
          <w:szCs w:val="28"/>
        </w:rPr>
        <w:t>анализ</w:t>
      </w:r>
      <w:r>
        <w:rPr>
          <w:rFonts w:ascii="Times New Roman" w:cs="Times New Roman" w:hAnsi="Times New Roman"/>
          <w:sz w:val="28"/>
          <w:szCs w:val="28"/>
          <w:lang w:val="en-US"/>
        </w:rPr>
        <w:t xml:space="preserve"> </w:t>
      </w:r>
      <w:r>
        <w:rPr>
          <w:rFonts w:ascii="Times New Roman" w:cs="Times New Roman" w:hAnsi="Times New Roman"/>
          <w:sz w:val="28"/>
          <w:szCs w:val="28"/>
        </w:rPr>
        <w:t>при</w:t>
      </w:r>
      <w:r>
        <w:rPr>
          <w:rFonts w:ascii="Times New Roman" w:cs="Times New Roman" w:hAnsi="Times New Roman"/>
          <w:sz w:val="28"/>
          <w:szCs w:val="28"/>
          <w:lang w:val="en-US"/>
        </w:rPr>
        <w:t xml:space="preserve"> </w:t>
      </w:r>
      <w:r>
        <w:rPr>
          <w:rFonts w:ascii="Times New Roman" w:cs="Times New Roman" w:hAnsi="Times New Roman"/>
          <w:sz w:val="28"/>
          <w:szCs w:val="28"/>
        </w:rPr>
        <w:t>помощи</w:t>
      </w:r>
      <w:r>
        <w:rPr>
          <w:rFonts w:ascii="Times New Roman" w:cs="Times New Roman" w:hAnsi="Times New Roman"/>
          <w:sz w:val="28"/>
          <w:szCs w:val="28"/>
          <w:lang w:val="en-US"/>
        </w:rPr>
        <w:t xml:space="preserve"> </w:t>
      </w:r>
      <w:r>
        <w:rPr>
          <w:rFonts w:ascii="Times New Roman" w:cs="Times New Roman" w:hAnsi="Times New Roman"/>
          <w:sz w:val="28"/>
          <w:szCs w:val="28"/>
        </w:rPr>
        <w:t>концепта</w:t>
      </w:r>
      <w:r>
        <w:rPr>
          <w:rFonts w:ascii="Times New Roman" w:cs="Times New Roman" w:hAnsi="Times New Roman"/>
          <w:sz w:val="28"/>
          <w:szCs w:val="28"/>
          <w:lang w:val="en-US"/>
        </w:rPr>
        <w:t xml:space="preserve"> </w:t>
      </w:r>
      <w:r>
        <w:rPr>
          <w:rFonts w:ascii="Times New Roman" w:cs="Times New Roman" w:hAnsi="Times New Roman"/>
          <w:sz w:val="28"/>
          <w:szCs w:val="28"/>
        </w:rPr>
        <w:t>различения</w:t>
      </w:r>
      <w:r>
        <w:rPr>
          <w:rFonts w:ascii="Times New Roman" w:cs="Times New Roman" w:hAnsi="Times New Roman"/>
          <w:sz w:val="28"/>
          <w:szCs w:val="28"/>
          <w:lang w:val="en-US"/>
        </w:rPr>
        <w:t xml:space="preserve"> (</w:t>
      </w:r>
      <w:r>
        <w:rPr>
          <w:rFonts w:ascii="Times New Roman" w:cs="Times New Roman" w:hAnsi="Times New Roman"/>
          <w:sz w:val="28"/>
          <w:szCs w:val="28"/>
        </w:rPr>
        <w:t>через</w:t>
      </w:r>
      <w:r>
        <w:rPr>
          <w:rFonts w:ascii="Times New Roman" w:cs="Times New Roman" w:hAnsi="Times New Roman"/>
          <w:sz w:val="28"/>
          <w:szCs w:val="28"/>
          <w:lang w:val="en-US"/>
        </w:rPr>
        <w:t xml:space="preserve"> </w:t>
      </w:r>
      <w:r>
        <w:rPr>
          <w:rFonts w:ascii="Times New Roman" w:cs="Times New Roman" w:hAnsi="Times New Roman"/>
          <w:sz w:val="28"/>
          <w:szCs w:val="28"/>
        </w:rPr>
        <w:t>запросы</w:t>
      </w:r>
      <w:r>
        <w:rPr>
          <w:rFonts w:ascii="Times New Roman" w:cs="Times New Roman" w:hAnsi="Times New Roman"/>
          <w:sz w:val="28"/>
          <w:szCs w:val="28"/>
          <w:lang w:val="en-US"/>
        </w:rPr>
        <w:t xml:space="preserve"> "apply the </w:t>
      </w:r>
      <w:r>
        <w:rPr>
          <w:rFonts w:ascii="Times New Roman" w:cs="Times New Roman" w:hAnsi="Times New Roman"/>
          <w:sz w:val="28"/>
          <w:szCs w:val="28"/>
          <w:lang w:val="en-US"/>
        </w:rPr>
        <w:t>Différance</w:t>
      </w:r>
      <w:r>
        <w:rPr>
          <w:rFonts w:ascii="Times New Roman" w:cs="Times New Roman" w:hAnsi="Times New Roman"/>
          <w:sz w:val="28"/>
          <w:szCs w:val="28"/>
          <w:lang w:val="en-US"/>
        </w:rPr>
        <w:t xml:space="preserve"> concept to the notions "purity" and "foul pride" in line 8 in the sonnet // apply the </w:t>
      </w:r>
      <w:r>
        <w:rPr>
          <w:rFonts w:ascii="Times New Roman" w:cs="Times New Roman" w:hAnsi="Times New Roman"/>
          <w:sz w:val="28"/>
          <w:szCs w:val="28"/>
          <w:lang w:val="en-US"/>
        </w:rPr>
        <w:t>Différance</w:t>
      </w:r>
      <w:r>
        <w:rPr>
          <w:rFonts w:ascii="Times New Roman" w:cs="Times New Roman" w:hAnsi="Times New Roman"/>
          <w:sz w:val="28"/>
          <w:szCs w:val="28"/>
          <w:lang w:val="en-US"/>
        </w:rPr>
        <w:t xml:space="preserve"> concept to the notions "angel" and "fiend" in line 8 in the sonnet"). </w:t>
      </w:r>
      <w:r>
        <w:rPr>
          <w:rFonts w:ascii="Times New Roman" w:cs="Times New Roman" w:hAnsi="Times New Roman"/>
          <w:sz w:val="28"/>
          <w:szCs w:val="28"/>
        </w:rPr>
        <w:t>Получив</w:t>
      </w:r>
      <w:r>
        <w:rPr>
          <w:rFonts w:ascii="Times New Roman" w:cs="Times New Roman" w:hAnsi="Times New Roman"/>
          <w:sz w:val="28"/>
          <w:szCs w:val="28"/>
          <w:lang w:val="en-US"/>
        </w:rPr>
        <w:t xml:space="preserve"> </w:t>
      </w:r>
      <w:r>
        <w:rPr>
          <w:rFonts w:ascii="Times New Roman" w:cs="Times New Roman" w:hAnsi="Times New Roman"/>
          <w:sz w:val="28"/>
          <w:szCs w:val="28"/>
        </w:rPr>
        <w:t>результат</w:t>
      </w:r>
      <w:r>
        <w:rPr>
          <w:rFonts w:ascii="Times New Roman" w:cs="Times New Roman" w:hAnsi="Times New Roman"/>
          <w:sz w:val="28"/>
          <w:szCs w:val="28"/>
          <w:lang w:val="en-US"/>
        </w:rPr>
        <w:t xml:space="preserve">, </w:t>
      </w:r>
      <w:r>
        <w:rPr>
          <w:rFonts w:ascii="Times New Roman" w:cs="Times New Roman" w:hAnsi="Times New Roman"/>
          <w:sz w:val="28"/>
          <w:szCs w:val="28"/>
        </w:rPr>
        <w:t>мы</w:t>
      </w:r>
      <w:r>
        <w:rPr>
          <w:rFonts w:ascii="Times New Roman" w:cs="Times New Roman" w:hAnsi="Times New Roman"/>
          <w:sz w:val="28"/>
          <w:szCs w:val="28"/>
          <w:lang w:val="en-US"/>
        </w:rPr>
        <w:t xml:space="preserve"> </w:t>
      </w:r>
      <w:r>
        <w:rPr>
          <w:rFonts w:ascii="Times New Roman" w:cs="Times New Roman" w:hAnsi="Times New Roman"/>
          <w:sz w:val="28"/>
          <w:szCs w:val="28"/>
        </w:rPr>
        <w:t>оформили</w:t>
      </w:r>
      <w:r>
        <w:rPr>
          <w:rFonts w:ascii="Times New Roman" w:cs="Times New Roman" w:hAnsi="Times New Roman"/>
          <w:sz w:val="28"/>
          <w:szCs w:val="28"/>
          <w:lang w:val="en-US"/>
        </w:rPr>
        <w:t xml:space="preserve"> </w:t>
      </w:r>
      <w:r>
        <w:rPr>
          <w:rFonts w:ascii="Times New Roman" w:cs="Times New Roman" w:hAnsi="Times New Roman"/>
          <w:sz w:val="28"/>
          <w:szCs w:val="28"/>
        </w:rPr>
        <w:t>его</w:t>
      </w:r>
      <w:r>
        <w:rPr>
          <w:rFonts w:ascii="Times New Roman" w:cs="Times New Roman" w:hAnsi="Times New Roman"/>
          <w:sz w:val="28"/>
          <w:szCs w:val="28"/>
          <w:lang w:val="en-US"/>
        </w:rPr>
        <w:t xml:space="preserve"> </w:t>
      </w:r>
      <w:r>
        <w:rPr>
          <w:rFonts w:ascii="Times New Roman" w:cs="Times New Roman" w:hAnsi="Times New Roman"/>
          <w:sz w:val="28"/>
          <w:szCs w:val="28"/>
        </w:rPr>
        <w:t>в</w:t>
      </w:r>
      <w:r>
        <w:rPr>
          <w:rFonts w:ascii="Times New Roman" w:cs="Times New Roman" w:hAnsi="Times New Roman"/>
          <w:sz w:val="28"/>
          <w:szCs w:val="28"/>
          <w:lang w:val="en-US"/>
        </w:rPr>
        <w:t xml:space="preserve"> </w:t>
      </w:r>
      <w:r>
        <w:rPr>
          <w:rFonts w:ascii="Times New Roman" w:cs="Times New Roman" w:hAnsi="Times New Roman"/>
          <w:sz w:val="28"/>
          <w:szCs w:val="28"/>
          <w:lang w:val="ru-RU"/>
        </w:rPr>
        <w:t>виде графа знаний</w:t>
      </w:r>
      <w:r>
        <w:rPr>
          <w:rFonts w:ascii="Times New Roman" w:cs="Times New Roman" w:hAnsi="Times New Roman"/>
          <w:sz w:val="28"/>
          <w:szCs w:val="28"/>
          <w:lang w:val="en-US"/>
        </w:rPr>
        <w:t xml:space="preserve"> (</w:t>
      </w:r>
      <w:r>
        <w:rPr>
          <w:rFonts w:ascii="Times New Roman" w:cs="Times New Roman" w:hAnsi="Times New Roman"/>
          <w:sz w:val="28"/>
          <w:szCs w:val="28"/>
        </w:rPr>
        <w:t>через</w:t>
      </w:r>
      <w:r>
        <w:rPr>
          <w:rFonts w:ascii="Times New Roman" w:cs="Times New Roman" w:hAnsi="Times New Roman"/>
          <w:sz w:val="28"/>
          <w:szCs w:val="28"/>
          <w:lang w:val="en-US"/>
        </w:rPr>
        <w:t xml:space="preserve"> </w:t>
      </w:r>
      <w:r>
        <w:rPr>
          <w:rFonts w:ascii="Times New Roman" w:cs="Times New Roman" w:hAnsi="Times New Roman"/>
          <w:sz w:val="28"/>
          <w:szCs w:val="28"/>
        </w:rPr>
        <w:t>запрос</w:t>
      </w:r>
      <w:r>
        <w:rPr>
          <w:rFonts w:ascii="Times New Roman" w:cs="Times New Roman" w:hAnsi="Times New Roman"/>
          <w:sz w:val="28"/>
          <w:szCs w:val="28"/>
          <w:lang w:val="en-US"/>
        </w:rPr>
        <w:t xml:space="preserve"> "present it in a knowledge graph"). </w:t>
      </w:r>
      <w:r>
        <w:rPr>
          <w:rFonts w:ascii="Times New Roman" w:cs="Times New Roman" w:hAnsi="Times New Roman"/>
          <w:sz w:val="28"/>
          <w:szCs w:val="28"/>
        </w:rPr>
        <w:t>Таким</w:t>
      </w:r>
      <w:r>
        <w:rPr>
          <w:rFonts w:ascii="Times New Roman" w:cs="Times New Roman" w:hAnsi="Times New Roman"/>
          <w:sz w:val="28"/>
          <w:szCs w:val="28"/>
          <w:lang w:val="en-US"/>
        </w:rPr>
        <w:t xml:space="preserve"> </w:t>
      </w:r>
      <w:r>
        <w:rPr>
          <w:rFonts w:ascii="Times New Roman" w:cs="Times New Roman" w:hAnsi="Times New Roman"/>
          <w:sz w:val="28"/>
          <w:szCs w:val="28"/>
        </w:rPr>
        <w:t>же</w:t>
      </w:r>
      <w:r>
        <w:rPr>
          <w:rFonts w:ascii="Times New Roman" w:cs="Times New Roman" w:hAnsi="Times New Roman"/>
          <w:sz w:val="28"/>
          <w:szCs w:val="28"/>
          <w:lang w:val="en-US"/>
        </w:rPr>
        <w:t xml:space="preserve"> </w:t>
      </w:r>
      <w:r>
        <w:rPr>
          <w:rFonts w:ascii="Times New Roman" w:cs="Times New Roman" w:hAnsi="Times New Roman"/>
          <w:sz w:val="28"/>
          <w:szCs w:val="28"/>
        </w:rPr>
        <w:t>образом</w:t>
      </w:r>
      <w:r>
        <w:rPr>
          <w:rFonts w:ascii="Times New Roman" w:cs="Times New Roman" w:hAnsi="Times New Roman"/>
          <w:sz w:val="28"/>
          <w:szCs w:val="28"/>
          <w:lang w:val="en-US"/>
        </w:rPr>
        <w:t xml:space="preserve"> </w:t>
      </w:r>
      <w:r>
        <w:rPr>
          <w:rFonts w:ascii="Times New Roman" w:cs="Times New Roman" w:hAnsi="Times New Roman"/>
          <w:sz w:val="28"/>
          <w:szCs w:val="28"/>
        </w:rPr>
        <w:t>была</w:t>
      </w:r>
      <w:r>
        <w:rPr>
          <w:rFonts w:ascii="Times New Roman" w:cs="Times New Roman" w:hAnsi="Times New Roman"/>
          <w:sz w:val="28"/>
          <w:szCs w:val="28"/>
          <w:lang w:val="en-US"/>
        </w:rPr>
        <w:t xml:space="preserve"> </w:t>
      </w:r>
      <w:r>
        <w:rPr>
          <w:rFonts w:ascii="Times New Roman" w:cs="Times New Roman" w:hAnsi="Times New Roman"/>
          <w:sz w:val="28"/>
          <w:szCs w:val="28"/>
        </w:rPr>
        <w:t>проведена</w:t>
      </w:r>
      <w:r>
        <w:rPr>
          <w:rFonts w:ascii="Times New Roman" w:cs="Times New Roman" w:hAnsi="Times New Roman"/>
          <w:sz w:val="28"/>
          <w:szCs w:val="28"/>
          <w:lang w:val="en-US"/>
        </w:rPr>
        <w:t xml:space="preserve"> </w:t>
      </w:r>
      <w:r>
        <w:rPr>
          <w:rFonts w:ascii="Times New Roman" w:cs="Times New Roman" w:hAnsi="Times New Roman"/>
          <w:sz w:val="28"/>
          <w:szCs w:val="28"/>
        </w:rPr>
        <w:t>историческая</w:t>
      </w:r>
      <w:r>
        <w:rPr>
          <w:rFonts w:ascii="Times New Roman" w:cs="Times New Roman" w:hAnsi="Times New Roman"/>
          <w:sz w:val="28"/>
          <w:szCs w:val="28"/>
          <w:lang w:val="en-US"/>
        </w:rPr>
        <w:t xml:space="preserve"> </w:t>
      </w:r>
      <w:r>
        <w:rPr>
          <w:rFonts w:ascii="Times New Roman" w:cs="Times New Roman" w:hAnsi="Times New Roman"/>
          <w:sz w:val="28"/>
          <w:szCs w:val="28"/>
        </w:rPr>
        <w:t>деконструкция</w:t>
      </w:r>
      <w:r>
        <w:rPr>
          <w:rFonts w:ascii="Times New Roman" w:cs="Times New Roman" w:hAnsi="Times New Roman"/>
          <w:sz w:val="28"/>
          <w:szCs w:val="28"/>
          <w:lang w:val="en-US"/>
        </w:rPr>
        <w:t xml:space="preserve"> (</w:t>
      </w:r>
      <w:r>
        <w:rPr>
          <w:rFonts w:ascii="Times New Roman" w:cs="Times New Roman" w:hAnsi="Times New Roman"/>
          <w:sz w:val="28"/>
          <w:szCs w:val="28"/>
        </w:rPr>
        <w:t>через</w:t>
      </w:r>
      <w:r>
        <w:rPr>
          <w:rFonts w:ascii="Times New Roman" w:cs="Times New Roman" w:hAnsi="Times New Roman"/>
          <w:sz w:val="28"/>
          <w:szCs w:val="28"/>
          <w:lang w:val="en-US"/>
        </w:rPr>
        <w:t xml:space="preserve"> </w:t>
      </w:r>
      <w:r>
        <w:rPr>
          <w:rFonts w:ascii="Times New Roman" w:cs="Times New Roman" w:hAnsi="Times New Roman"/>
          <w:sz w:val="28"/>
          <w:szCs w:val="28"/>
        </w:rPr>
        <w:t>запрос</w:t>
      </w:r>
      <w:r>
        <w:rPr>
          <w:rFonts w:ascii="Times New Roman" w:cs="Times New Roman" w:hAnsi="Times New Roman"/>
          <w:sz w:val="28"/>
          <w:szCs w:val="28"/>
          <w:lang w:val="en-US"/>
        </w:rPr>
        <w:t xml:space="preserve"> "apply Derrida's historical deconstruction to the words [</w:t>
      </w:r>
      <w:r>
        <w:rPr>
          <w:rFonts w:ascii="Times New Roman" w:cs="Times New Roman" w:hAnsi="Times New Roman"/>
          <w:sz w:val="28"/>
          <w:szCs w:val="28"/>
        </w:rPr>
        <w:t>нужная</w:t>
      </w:r>
      <w:r>
        <w:rPr>
          <w:rFonts w:ascii="Times New Roman" w:cs="Times New Roman" w:hAnsi="Times New Roman"/>
          <w:sz w:val="28"/>
          <w:szCs w:val="28"/>
          <w:lang w:val="en-US"/>
        </w:rPr>
        <w:t xml:space="preserve"> </w:t>
      </w:r>
      <w:r>
        <w:rPr>
          <w:rFonts w:ascii="Times New Roman" w:cs="Times New Roman" w:hAnsi="Times New Roman"/>
          <w:sz w:val="28"/>
          <w:szCs w:val="28"/>
        </w:rPr>
        <w:t>пара</w:t>
      </w:r>
      <w:r>
        <w:rPr>
          <w:rFonts w:ascii="Times New Roman" w:cs="Times New Roman" w:hAnsi="Times New Roman"/>
          <w:sz w:val="28"/>
          <w:szCs w:val="28"/>
          <w:lang w:val="en-US"/>
        </w:rPr>
        <w:t xml:space="preserve"> </w:t>
      </w:r>
      <w:r>
        <w:rPr>
          <w:rFonts w:ascii="Times New Roman" w:cs="Times New Roman" w:hAnsi="Times New Roman"/>
          <w:sz w:val="28"/>
          <w:szCs w:val="28"/>
        </w:rPr>
        <w:t>слов</w:t>
      </w:r>
      <w:r>
        <w:rPr>
          <w:rFonts w:ascii="Times New Roman" w:cs="Times New Roman" w:hAnsi="Times New Roman"/>
          <w:sz w:val="28"/>
          <w:szCs w:val="28"/>
          <w:lang w:val="en-US"/>
        </w:rPr>
        <w:t xml:space="preserve">]" </w:t>
      </w:r>
      <w:r>
        <w:rPr>
          <w:rFonts w:ascii="Times New Roman" w:cs="Times New Roman" w:hAnsi="Times New Roman"/>
          <w:sz w:val="28"/>
          <w:szCs w:val="28"/>
        </w:rPr>
        <w:t>и</w:t>
      </w:r>
      <w:r>
        <w:rPr>
          <w:rFonts w:ascii="Times New Roman" w:cs="Times New Roman" w:hAnsi="Times New Roman"/>
          <w:sz w:val="28"/>
          <w:szCs w:val="28"/>
          <w:lang w:val="en-US"/>
        </w:rPr>
        <w:t xml:space="preserve"> </w:t>
      </w:r>
      <w:r>
        <w:rPr>
          <w:rFonts w:ascii="Times New Roman" w:cs="Times New Roman" w:hAnsi="Times New Roman"/>
          <w:sz w:val="28"/>
          <w:szCs w:val="28"/>
        </w:rPr>
        <w:t>последующий</w:t>
      </w:r>
      <w:r>
        <w:rPr>
          <w:rFonts w:ascii="Times New Roman" w:cs="Times New Roman" w:hAnsi="Times New Roman"/>
          <w:sz w:val="28"/>
          <w:szCs w:val="28"/>
          <w:lang w:val="en-US"/>
        </w:rPr>
        <w:t xml:space="preserve"> "present it in a knowledge graph"). </w:t>
      </w:r>
      <w:r>
        <w:rPr>
          <w:rFonts w:ascii="Times New Roman" w:cs="Times New Roman" w:hAnsi="Times New Roman"/>
          <w:sz w:val="28"/>
          <w:szCs w:val="28"/>
        </w:rPr>
        <w:t>Заключающим</w:t>
      </w:r>
      <w:r>
        <w:rPr>
          <w:rFonts w:ascii="Times New Roman" w:cs="Times New Roman" w:hAnsi="Times New Roman"/>
          <w:sz w:val="28"/>
          <w:szCs w:val="28"/>
          <w:lang w:val="en-US"/>
        </w:rPr>
        <w:t xml:space="preserve"> </w:t>
      </w:r>
      <w:r>
        <w:rPr>
          <w:rFonts w:ascii="Times New Roman" w:cs="Times New Roman" w:hAnsi="Times New Roman"/>
          <w:sz w:val="28"/>
          <w:szCs w:val="28"/>
        </w:rPr>
        <w:t>этапом</w:t>
      </w:r>
      <w:r>
        <w:rPr>
          <w:rFonts w:ascii="Times New Roman" w:cs="Times New Roman" w:hAnsi="Times New Roman"/>
          <w:sz w:val="28"/>
          <w:szCs w:val="28"/>
          <w:lang w:val="en-US"/>
        </w:rPr>
        <w:t xml:space="preserve"> </w:t>
      </w:r>
      <w:r>
        <w:rPr>
          <w:rFonts w:ascii="Times New Roman" w:cs="Times New Roman" w:hAnsi="Times New Roman"/>
          <w:sz w:val="28"/>
          <w:szCs w:val="28"/>
        </w:rPr>
        <w:t>работы</w:t>
      </w:r>
      <w:r>
        <w:rPr>
          <w:rFonts w:ascii="Times New Roman" w:cs="Times New Roman" w:hAnsi="Times New Roman"/>
          <w:sz w:val="28"/>
          <w:szCs w:val="28"/>
          <w:lang w:val="en-US"/>
        </w:rPr>
        <w:t xml:space="preserve"> </w:t>
      </w:r>
      <w:r>
        <w:rPr>
          <w:rFonts w:ascii="Times New Roman" w:cs="Times New Roman" w:hAnsi="Times New Roman"/>
          <w:sz w:val="28"/>
          <w:szCs w:val="28"/>
        </w:rPr>
        <w:t>с</w:t>
      </w:r>
      <w:r>
        <w:rPr>
          <w:rFonts w:ascii="Times New Roman" w:cs="Times New Roman" w:hAnsi="Times New Roman"/>
          <w:sz w:val="28"/>
          <w:szCs w:val="28"/>
          <w:lang w:val="en-US"/>
        </w:rPr>
        <w:t xml:space="preserve"> </w:t>
      </w:r>
      <w:r>
        <w:rPr>
          <w:rFonts w:ascii="Times New Roman" w:cs="Times New Roman" w:hAnsi="Times New Roman"/>
          <w:sz w:val="28"/>
          <w:szCs w:val="28"/>
        </w:rPr>
        <w:t>положениями</w:t>
      </w:r>
      <w:r>
        <w:rPr>
          <w:rFonts w:ascii="Times New Roman" w:cs="Times New Roman" w:hAnsi="Times New Roman"/>
          <w:sz w:val="28"/>
          <w:szCs w:val="28"/>
          <w:lang w:val="en-US"/>
        </w:rPr>
        <w:t xml:space="preserve"> </w:t>
      </w:r>
      <w:r>
        <w:rPr>
          <w:rFonts w:ascii="Times New Roman" w:cs="Times New Roman" w:hAnsi="Times New Roman"/>
          <w:sz w:val="28"/>
          <w:szCs w:val="28"/>
        </w:rPr>
        <w:t>Деррида</w:t>
      </w:r>
      <w:r>
        <w:rPr>
          <w:rFonts w:ascii="Times New Roman" w:cs="Times New Roman" w:hAnsi="Times New Roman"/>
          <w:sz w:val="28"/>
          <w:szCs w:val="28"/>
          <w:lang w:val="en-US"/>
        </w:rPr>
        <w:t xml:space="preserve"> </w:t>
      </w:r>
      <w:r>
        <w:rPr>
          <w:rFonts w:ascii="Times New Roman" w:cs="Times New Roman" w:hAnsi="Times New Roman"/>
          <w:sz w:val="28"/>
          <w:szCs w:val="28"/>
        </w:rPr>
        <w:t>было</w:t>
      </w:r>
      <w:r>
        <w:rPr>
          <w:rFonts w:ascii="Times New Roman" w:cs="Times New Roman" w:hAnsi="Times New Roman"/>
          <w:sz w:val="28"/>
          <w:szCs w:val="28"/>
          <w:lang w:val="en-US"/>
        </w:rPr>
        <w:t xml:space="preserve"> </w:t>
      </w:r>
      <w:r>
        <w:rPr>
          <w:rFonts w:ascii="Times New Roman" w:cs="Times New Roman" w:hAnsi="Times New Roman"/>
          <w:sz w:val="28"/>
          <w:szCs w:val="28"/>
        </w:rPr>
        <w:t>использование</w:t>
      </w:r>
      <w:r>
        <w:rPr>
          <w:rFonts w:ascii="Times New Roman" w:cs="Times New Roman" w:hAnsi="Times New Roman"/>
          <w:sz w:val="28"/>
          <w:szCs w:val="28"/>
          <w:lang w:val="en-US"/>
        </w:rPr>
        <w:t xml:space="preserve"> </w:t>
      </w:r>
      <w:r>
        <w:rPr>
          <w:rFonts w:ascii="Times New Roman" w:cs="Times New Roman" w:hAnsi="Times New Roman"/>
          <w:sz w:val="28"/>
          <w:szCs w:val="28"/>
        </w:rPr>
        <w:t>метода</w:t>
      </w:r>
      <w:r>
        <w:rPr>
          <w:rFonts w:ascii="Times New Roman" w:cs="Times New Roman" w:hAnsi="Times New Roman"/>
          <w:sz w:val="28"/>
          <w:szCs w:val="28"/>
          <w:lang w:val="en-US"/>
        </w:rPr>
        <w:t xml:space="preserve"> </w:t>
      </w:r>
      <w:r>
        <w:rPr>
          <w:rFonts w:ascii="Times New Roman" w:cs="Times New Roman" w:hAnsi="Times New Roman"/>
          <w:sz w:val="28"/>
          <w:szCs w:val="28"/>
          <w:lang w:val="ru-RU"/>
        </w:rPr>
        <w:t>самовнимания</w:t>
      </w:r>
      <w:r>
        <w:rPr>
          <w:rFonts w:ascii="Times New Roman" w:cs="Times New Roman" w:hAnsi="Times New Roman"/>
          <w:sz w:val="28"/>
          <w:szCs w:val="28"/>
          <w:lang w:val="en-US"/>
        </w:rPr>
        <w:t xml:space="preserve"> (</w:t>
      </w:r>
      <w:r>
        <w:rPr>
          <w:rFonts w:ascii="Times New Roman" w:cs="Times New Roman" w:hAnsi="Times New Roman"/>
          <w:sz w:val="28"/>
          <w:szCs w:val="28"/>
        </w:rPr>
        <w:t>через</w:t>
      </w:r>
      <w:r>
        <w:rPr>
          <w:rFonts w:ascii="Times New Roman" w:cs="Times New Roman" w:hAnsi="Times New Roman"/>
          <w:sz w:val="28"/>
          <w:szCs w:val="28"/>
          <w:lang w:val="en-US"/>
        </w:rPr>
        <w:t xml:space="preserve"> </w:t>
      </w:r>
      <w:r>
        <w:rPr>
          <w:rFonts w:ascii="Times New Roman" w:cs="Times New Roman" w:hAnsi="Times New Roman"/>
          <w:sz w:val="28"/>
          <w:szCs w:val="28"/>
        </w:rPr>
        <w:t>запрос</w:t>
      </w:r>
      <w:r>
        <w:rPr>
          <w:rFonts w:ascii="Times New Roman" w:cs="Times New Roman" w:hAnsi="Times New Roman"/>
          <w:sz w:val="28"/>
          <w:szCs w:val="28"/>
          <w:lang w:val="en-US"/>
        </w:rPr>
        <w:t xml:space="preserve"> "apply the self-attention mechanism to the sentence beginning with "To win me soon to hell...""). </w:t>
      </w:r>
      <w:r>
        <w:rPr>
          <w:rFonts w:ascii="Times New Roman" w:cs="Times New Roman" w:hAnsi="Times New Roman"/>
          <w:sz w:val="28"/>
          <w:szCs w:val="28"/>
        </w:rPr>
        <w:t xml:space="preserve">Работу с текстом модель провела адекватно. </w:t>
      </w:r>
    </w:p>
    <w:p w14:paraId="000000DB">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 xml:space="preserve">Для работы с переводом мы опирались на разработанный алгоритм анализа по трем переменным (принцип различения, историческая деконструкция и метод </w:t>
      </w:r>
      <w:r>
        <w:rPr>
          <w:rFonts w:ascii="Times New Roman" w:cs="Times New Roman" w:hAnsi="Times New Roman"/>
          <w:sz w:val="28"/>
          <w:szCs w:val="28"/>
        </w:rPr>
        <w:t>самовнимания</w:t>
      </w:r>
      <w:r>
        <w:rPr>
          <w:rFonts w:ascii="Times New Roman" w:cs="Times New Roman" w:hAnsi="Times New Roman"/>
          <w:sz w:val="28"/>
          <w:szCs w:val="28"/>
        </w:rPr>
        <w:t>), и, представив модели текст перевода за авторством Модеста Чайковского, сформулировали следующий запрос: "</w:t>
      </w:r>
      <w:r>
        <w:rPr>
          <w:rFonts w:ascii="Times New Roman" w:cs="Times New Roman" w:hAnsi="Times New Roman"/>
          <w:sz w:val="28"/>
          <w:szCs w:val="28"/>
        </w:rPr>
        <w:t>compare</w:t>
      </w:r>
      <w:r>
        <w:rPr>
          <w:rFonts w:ascii="Times New Roman" w:cs="Times New Roman" w:hAnsi="Times New Roman"/>
          <w:sz w:val="28"/>
          <w:szCs w:val="28"/>
        </w:rPr>
        <w:t xml:space="preserve"> </w:t>
      </w:r>
      <w:r>
        <w:rPr>
          <w:rFonts w:ascii="Times New Roman" w:cs="Times New Roman" w:hAnsi="Times New Roman"/>
          <w:sz w:val="28"/>
          <w:szCs w:val="28"/>
        </w:rPr>
        <w:t>the</w:t>
      </w:r>
      <w:r>
        <w:rPr>
          <w:rFonts w:ascii="Times New Roman" w:cs="Times New Roman" w:hAnsi="Times New Roman"/>
          <w:sz w:val="28"/>
          <w:szCs w:val="28"/>
        </w:rPr>
        <w:t xml:space="preserve"> </w:t>
      </w:r>
      <w:r>
        <w:rPr>
          <w:rFonts w:ascii="Times New Roman" w:cs="Times New Roman" w:hAnsi="Times New Roman"/>
          <w:sz w:val="28"/>
          <w:szCs w:val="28"/>
        </w:rPr>
        <w:t>translation</w:t>
      </w:r>
      <w:r>
        <w:rPr>
          <w:rFonts w:ascii="Times New Roman" w:cs="Times New Roman" w:hAnsi="Times New Roman"/>
          <w:sz w:val="28"/>
          <w:szCs w:val="28"/>
        </w:rPr>
        <w:t xml:space="preserve"> </w:t>
      </w:r>
      <w:r>
        <w:rPr>
          <w:rFonts w:ascii="Times New Roman" w:cs="Times New Roman" w:hAnsi="Times New Roman"/>
          <w:sz w:val="28"/>
          <w:szCs w:val="28"/>
        </w:rPr>
        <w:t>by</w:t>
      </w:r>
      <w:r>
        <w:rPr>
          <w:rFonts w:ascii="Times New Roman" w:cs="Times New Roman" w:hAnsi="Times New Roman"/>
          <w:sz w:val="28"/>
          <w:szCs w:val="28"/>
        </w:rPr>
        <w:t xml:space="preserve"> </w:t>
      </w:r>
      <w:r>
        <w:rPr>
          <w:rFonts w:ascii="Times New Roman" w:cs="Times New Roman" w:hAnsi="Times New Roman"/>
          <w:sz w:val="28"/>
          <w:szCs w:val="28"/>
        </w:rPr>
        <w:t>Modest</w:t>
      </w:r>
      <w:r>
        <w:rPr>
          <w:rFonts w:ascii="Times New Roman" w:cs="Times New Roman" w:hAnsi="Times New Roman"/>
          <w:sz w:val="28"/>
          <w:szCs w:val="28"/>
        </w:rPr>
        <w:t xml:space="preserve"> </w:t>
      </w:r>
      <w:r>
        <w:rPr>
          <w:rFonts w:ascii="Times New Roman" w:cs="Times New Roman" w:hAnsi="Times New Roman"/>
          <w:sz w:val="28"/>
          <w:szCs w:val="28"/>
        </w:rPr>
        <w:t>Tchaikovsky</w:t>
      </w:r>
      <w:r>
        <w:rPr>
          <w:rFonts w:ascii="Times New Roman" w:cs="Times New Roman" w:hAnsi="Times New Roman"/>
          <w:sz w:val="28"/>
          <w:szCs w:val="28"/>
        </w:rPr>
        <w:t xml:space="preserve"> </w:t>
      </w:r>
      <w:r>
        <w:rPr>
          <w:rFonts w:ascii="Times New Roman" w:cs="Times New Roman" w:hAnsi="Times New Roman"/>
          <w:sz w:val="28"/>
          <w:szCs w:val="28"/>
        </w:rPr>
        <w:t>and</w:t>
      </w:r>
      <w:r>
        <w:rPr>
          <w:rFonts w:ascii="Times New Roman" w:cs="Times New Roman" w:hAnsi="Times New Roman"/>
          <w:sz w:val="28"/>
          <w:szCs w:val="28"/>
        </w:rPr>
        <w:t xml:space="preserve"> </w:t>
      </w:r>
      <w:r>
        <w:rPr>
          <w:rFonts w:ascii="Times New Roman" w:cs="Times New Roman" w:hAnsi="Times New Roman"/>
          <w:sz w:val="28"/>
          <w:szCs w:val="28"/>
        </w:rPr>
        <w:t>the</w:t>
      </w:r>
      <w:r>
        <w:rPr>
          <w:rFonts w:ascii="Times New Roman" w:cs="Times New Roman" w:hAnsi="Times New Roman"/>
          <w:sz w:val="28"/>
          <w:szCs w:val="28"/>
        </w:rPr>
        <w:t xml:space="preserve"> </w:t>
      </w:r>
      <w:r>
        <w:rPr>
          <w:rFonts w:ascii="Times New Roman" w:cs="Times New Roman" w:hAnsi="Times New Roman"/>
          <w:sz w:val="28"/>
          <w:szCs w:val="28"/>
        </w:rPr>
        <w:t>three</w:t>
      </w:r>
      <w:r>
        <w:rPr>
          <w:rFonts w:ascii="Times New Roman" w:cs="Times New Roman" w:hAnsi="Times New Roman"/>
          <w:sz w:val="28"/>
          <w:szCs w:val="28"/>
        </w:rPr>
        <w:t xml:space="preserve"> </w:t>
      </w:r>
      <w:r>
        <w:rPr>
          <w:rFonts w:ascii="Times New Roman" w:cs="Times New Roman" w:hAnsi="Times New Roman"/>
          <w:sz w:val="28"/>
          <w:szCs w:val="28"/>
        </w:rPr>
        <w:t>aspects</w:t>
      </w:r>
      <w:r>
        <w:rPr>
          <w:rFonts w:ascii="Times New Roman" w:cs="Times New Roman" w:hAnsi="Times New Roman"/>
          <w:sz w:val="28"/>
          <w:szCs w:val="28"/>
        </w:rPr>
        <w:t xml:space="preserve"> </w:t>
      </w:r>
      <w:r>
        <w:rPr>
          <w:rFonts w:ascii="Times New Roman" w:cs="Times New Roman" w:hAnsi="Times New Roman"/>
          <w:sz w:val="28"/>
          <w:szCs w:val="28"/>
        </w:rPr>
        <w:t>that</w:t>
      </w:r>
      <w:r>
        <w:rPr>
          <w:rFonts w:ascii="Times New Roman" w:cs="Times New Roman" w:hAnsi="Times New Roman"/>
          <w:sz w:val="28"/>
          <w:szCs w:val="28"/>
        </w:rPr>
        <w:t xml:space="preserve"> </w:t>
      </w:r>
      <w:r>
        <w:rPr>
          <w:rFonts w:ascii="Times New Roman" w:cs="Times New Roman" w:hAnsi="Times New Roman"/>
          <w:sz w:val="28"/>
          <w:szCs w:val="28"/>
        </w:rPr>
        <w:t>were</w:t>
      </w:r>
      <w:r>
        <w:rPr>
          <w:rFonts w:ascii="Times New Roman" w:cs="Times New Roman" w:hAnsi="Times New Roman"/>
          <w:sz w:val="28"/>
          <w:szCs w:val="28"/>
        </w:rPr>
        <w:t xml:space="preserve"> </w:t>
      </w:r>
      <w:r>
        <w:rPr>
          <w:rFonts w:ascii="Times New Roman" w:cs="Times New Roman" w:hAnsi="Times New Roman"/>
          <w:sz w:val="28"/>
          <w:szCs w:val="28"/>
        </w:rPr>
        <w:t>just</w:t>
      </w:r>
      <w:r>
        <w:rPr>
          <w:rFonts w:ascii="Times New Roman" w:cs="Times New Roman" w:hAnsi="Times New Roman"/>
          <w:sz w:val="28"/>
          <w:szCs w:val="28"/>
        </w:rPr>
        <w:t xml:space="preserve"> </w:t>
      </w:r>
      <w:r>
        <w:rPr>
          <w:rFonts w:ascii="Times New Roman" w:cs="Times New Roman" w:hAnsi="Times New Roman"/>
          <w:sz w:val="28"/>
          <w:szCs w:val="28"/>
        </w:rPr>
        <w:t>covered</w:t>
      </w:r>
      <w:r>
        <w:rPr>
          <w:rFonts w:ascii="Times New Roman" w:cs="Times New Roman" w:hAnsi="Times New Roman"/>
          <w:sz w:val="28"/>
          <w:szCs w:val="28"/>
        </w:rPr>
        <w:t>". Для различения и деконструкции модель представила результат в виде таблицы, а для метода самовнимания (</w:t>
      </w:r>
      <w:r>
        <w:rPr>
          <w:rFonts w:ascii="Times New Roman" w:cs="Times New Roman" w:hAnsi="Times New Roman"/>
          <w:sz w:val="28"/>
          <w:szCs w:val="28"/>
        </w:rPr>
        <w:t>self-attention)</w:t>
      </w:r>
      <w:r>
        <w:rPr>
          <w:rFonts w:ascii="Times New Roman" w:cs="Times New Roman" w:hAnsi="Times New Roman"/>
          <w:sz w:val="28"/>
          <w:szCs w:val="28"/>
        </w:rPr>
        <w:t xml:space="preserve"> — в виде небольшого графика.</w:t>
      </w:r>
    </w:p>
    <w:p w14:paraId="000000DC">
      <w:pPr>
        <w:spacing w:line="360" w:lineRule="auto"/>
        <w:ind w:firstLine="708"/>
        <w:jc w:val="both"/>
        <w:rPr>
          <w:rFonts w:ascii="Times New Roman" w:cs="Times New Roman" w:hAnsi="Times New Roman"/>
          <w:sz w:val="28"/>
          <w:szCs w:val="28"/>
        </w:rPr>
      </w:pPr>
      <w:r>
        <w:rPr>
          <w:rStyle w:val="Footnotereference"/>
          <w:rFonts w:ascii="Times New Roman" w:cs="Times New Roman" w:hAnsi="Times New Roman"/>
          <w:sz w:val="28"/>
          <w:szCs w:val="28"/>
        </w:rPr>
        <w:footnoteReference w:id="15"/>
      </w:r>
      <w:r>
        <w:rPr>
          <w:rFonts w:ascii="Times New Roman" w:cs="Times New Roman" w:hAnsi="Times New Roman"/>
          <w:sz w:val="28"/>
          <w:szCs w:val="28"/>
        </w:rPr>
        <w:t>Такой анализ, фокусирующийся на динамике и нестабильности, позволяет увидеть в классическом произведении сложный механизм генерации значения, актуальный для современных подходов в анализе текста. Далее, при анализе статьи «</w:t>
      </w:r>
      <w:r>
        <w:rPr>
          <w:rFonts w:ascii="Times New Roman" w:cs="Times New Roman" w:hAnsi="Times New Roman"/>
          <w:sz w:val="28"/>
          <w:szCs w:val="28"/>
        </w:rPr>
        <w:t>Attention</w:t>
      </w:r>
      <w:r>
        <w:rPr>
          <w:rFonts w:ascii="Times New Roman" w:cs="Times New Roman" w:hAnsi="Times New Roman"/>
          <w:sz w:val="28"/>
          <w:szCs w:val="28"/>
        </w:rPr>
        <w:t xml:space="preserve"> </w:t>
      </w:r>
      <w:r>
        <w:rPr>
          <w:rFonts w:ascii="Times New Roman" w:cs="Times New Roman" w:hAnsi="Times New Roman"/>
          <w:sz w:val="28"/>
          <w:szCs w:val="28"/>
        </w:rPr>
        <w:t>Is</w:t>
      </w:r>
      <w:r>
        <w:rPr>
          <w:rFonts w:ascii="Times New Roman" w:cs="Times New Roman" w:hAnsi="Times New Roman"/>
          <w:sz w:val="28"/>
          <w:szCs w:val="28"/>
        </w:rPr>
        <w:t xml:space="preserve"> All We </w:t>
      </w:r>
      <w:r>
        <w:rPr>
          <w:rFonts w:ascii="Times New Roman" w:cs="Times New Roman" w:hAnsi="Times New Roman"/>
          <w:sz w:val="28"/>
          <w:szCs w:val="28"/>
        </w:rPr>
        <w:t>Need</w:t>
      </w:r>
      <w:r>
        <w:rPr>
          <w:rFonts w:ascii="Times New Roman" w:cs="Times New Roman" w:hAnsi="Times New Roman"/>
          <w:sz w:val="28"/>
          <w:szCs w:val="28"/>
        </w:rPr>
        <w:t>», данн</w:t>
      </w:r>
      <w:r>
        <w:rPr>
          <w:rFonts w:ascii="Times New Roman" w:cs="Times New Roman" w:hAnsi="Times New Roman"/>
          <w:sz w:val="28"/>
          <w:szCs w:val="28"/>
        </w:rPr>
        <w:t>а</w:t>
      </w:r>
      <w:r>
        <w:rPr>
          <w:rFonts w:ascii="Times New Roman" w:cs="Times New Roman" w:hAnsi="Times New Roman"/>
          <w:sz w:val="28"/>
          <w:szCs w:val="28"/>
        </w:rPr>
        <w:t>я</w:t>
      </w:r>
      <w:r>
        <w:rPr>
          <w:rFonts w:ascii="Times New Roman" w:cs="Times New Roman" w:hAnsi="Times New Roman"/>
          <w:sz w:val="28"/>
          <w:szCs w:val="28"/>
        </w:rPr>
        <w:t xml:space="preserve"> </w:t>
      </w:r>
      <w:r>
        <w:rPr>
          <w:rFonts w:ascii="Times New Roman" w:cs="Times New Roman" w:hAnsi="Times New Roman"/>
          <w:sz w:val="28"/>
          <w:szCs w:val="28"/>
        </w:rPr>
        <w:t xml:space="preserve">методология была расширена за счет применения </w:t>
      </w:r>
      <w:r>
        <w:rPr>
          <w:rFonts w:ascii="Times New Roman" w:cs="Times New Roman" w:hAnsi="Times New Roman"/>
          <w:sz w:val="28"/>
          <w:szCs w:val="28"/>
          <w:lang w:val="en-US"/>
        </w:rPr>
        <w:t>multiheaded</w:t>
      </w:r>
      <w:r>
        <w:rPr>
          <w:rFonts w:ascii="Times New Roman" w:cs="Times New Roman" w:hAnsi="Times New Roman"/>
          <w:sz w:val="28"/>
          <w:szCs w:val="28"/>
        </w:rPr>
        <w:t xml:space="preserve"> </w:t>
      </w:r>
      <w:r>
        <w:rPr>
          <w:rFonts w:ascii="Times New Roman" w:cs="Times New Roman" w:hAnsi="Times New Roman"/>
          <w:sz w:val="28"/>
          <w:szCs w:val="28"/>
          <w:lang w:val="en-US"/>
        </w:rPr>
        <w:t>attention</w:t>
      </w:r>
      <w:r>
        <w:rPr>
          <w:rFonts w:ascii="Times New Roman" w:cs="Times New Roman" w:hAnsi="Times New Roman"/>
          <w:sz w:val="28"/>
          <w:szCs w:val="28"/>
        </w:rPr>
        <w:t xml:space="preserve">. Для каждого из восьми текстов корпуса была проведена виртуальная </w:t>
      </w:r>
      <w:r>
        <w:rPr>
          <w:rFonts w:ascii="Times New Roman" w:cs="Times New Roman" w:hAnsi="Times New Roman"/>
          <w:sz w:val="28"/>
          <w:szCs w:val="28"/>
        </w:rPr>
        <w:t>экспериментная</w:t>
      </w:r>
      <w:r>
        <w:rPr>
          <w:rFonts w:ascii="Times New Roman" w:cs="Times New Roman" w:hAnsi="Times New Roman"/>
          <w:sz w:val="28"/>
          <w:szCs w:val="28"/>
        </w:rPr>
        <w:t xml:space="preserve"> процедура: мы моделировали, как разные «головы» внимания фокусируются на различных аспектах — синтаксическом, семантическом и стилистическом. Например, для стихотворения Бодлера «Гимн красоте» одна «голова» </w:t>
      </w:r>
      <w:r>
        <w:rPr>
          <w:rFonts w:ascii="Times New Roman" w:cs="Times New Roman" w:hAnsi="Times New Roman"/>
          <w:sz w:val="28"/>
          <w:szCs w:val="28"/>
        </w:rPr>
        <w:t>выделяла поэтические образы, другая — философские антиномии, а третья — риторические структуры. Это позволило декомпозировать текст на параллельные потоки признаков и построить для каждого жанра развернутую таблицу-паспорт, описывающую, какой тип внимания и какие связи (метонимические цепочки, причинно-следственные связи, категориальные запреты) являются доминирующими для его адекватного понимания моделью.</w:t>
      </w:r>
    </w:p>
    <w:p w14:paraId="000000DD">
      <w:pPr>
        <w:spacing w:line="360" w:lineRule="auto"/>
        <w:jc w:val="both"/>
        <w:rPr>
          <w:rFonts w:ascii="Times New Roman" w:cs="Times New Roman" w:hAnsi="Times New Roman"/>
          <w:sz w:val="28"/>
          <w:szCs w:val="28"/>
        </w:rPr>
      </w:pPr>
      <w:r>
        <w:rPr>
          <w:rFonts w:ascii="Times New Roman" w:cs="Times New Roman" w:hAnsi="Times New Roman"/>
          <w:sz w:val="28"/>
          <w:szCs w:val="28"/>
        </w:rPr>
        <w:tab/>
      </w:r>
      <w:r>
        <w:rPr>
          <w:rStyle w:val="Footnotereference"/>
          <w:rFonts w:ascii="Times New Roman" w:cs="Times New Roman" w:hAnsi="Times New Roman"/>
          <w:sz w:val="28"/>
          <w:szCs w:val="28"/>
        </w:rPr>
        <w:footnoteReference w:id="16"/>
      </w:r>
      <w:r>
        <w:rPr>
          <w:rFonts w:ascii="Times New Roman" w:cs="Times New Roman" w:hAnsi="Times New Roman"/>
          <w:sz w:val="28"/>
          <w:szCs w:val="28"/>
        </w:rPr>
        <w:t xml:space="preserve">Инструменты </w:t>
      </w:r>
      <w:r>
        <w:rPr>
          <w:rFonts w:ascii="Times New Roman" w:cs="Times New Roman" w:hAnsi="Times New Roman"/>
          <w:sz w:val="28"/>
          <w:szCs w:val="28"/>
        </w:rPr>
        <w:t>Б</w:t>
      </w:r>
      <w:r>
        <w:rPr>
          <w:rFonts w:ascii="Times New Roman" w:cs="Times New Roman" w:hAnsi="Times New Roman"/>
          <w:sz w:val="28"/>
          <w:szCs w:val="28"/>
        </w:rPr>
        <w:t xml:space="preserve">ольших языковых моделей, таких как </w:t>
      </w:r>
      <w:r>
        <w:rPr>
          <w:rFonts w:ascii="Times New Roman" w:cs="Times New Roman" w:hAnsi="Times New Roman"/>
          <w:sz w:val="28"/>
          <w:szCs w:val="28"/>
        </w:rPr>
        <w:t>DeepSeek</w:t>
      </w:r>
      <w:r>
        <w:rPr>
          <w:rFonts w:ascii="Times New Roman" w:cs="Times New Roman" w:hAnsi="Times New Roman"/>
          <w:sz w:val="28"/>
          <w:szCs w:val="28"/>
        </w:rPr>
        <w:t>, используются для углублённого анализа текстов через призму деконструкции и механизмов внимания. К примеру, демонстрируется, как с помощью самовнимания (</w:t>
      </w:r>
      <w:r>
        <w:rPr>
          <w:rFonts w:ascii="Times New Roman" w:cs="Times New Roman" w:hAnsi="Times New Roman"/>
          <w:sz w:val="28"/>
          <w:szCs w:val="28"/>
          <w:lang w:val="en-US"/>
        </w:rPr>
        <w:t>s</w:t>
      </w:r>
      <w:r>
        <w:rPr>
          <w:rFonts w:ascii="Times New Roman" w:cs="Times New Roman" w:hAnsi="Times New Roman"/>
          <w:sz w:val="28"/>
          <w:szCs w:val="28"/>
        </w:rPr>
        <w:t>elf</w:t>
      </w:r>
      <w:r>
        <w:rPr>
          <w:rFonts w:ascii="Times New Roman" w:cs="Times New Roman" w:hAnsi="Times New Roman"/>
          <w:sz w:val="28"/>
          <w:szCs w:val="28"/>
        </w:rPr>
        <w:t>-</w:t>
      </w:r>
      <w:r>
        <w:rPr>
          <w:rFonts w:ascii="Times New Roman" w:cs="Times New Roman" w:hAnsi="Times New Roman"/>
          <w:sz w:val="28"/>
          <w:szCs w:val="28"/>
          <w:lang w:val="en-US"/>
        </w:rPr>
        <w:t>a</w:t>
      </w:r>
      <w:r>
        <w:rPr>
          <w:rFonts w:ascii="Times New Roman" w:cs="Times New Roman" w:hAnsi="Times New Roman"/>
          <w:sz w:val="28"/>
          <w:szCs w:val="28"/>
        </w:rPr>
        <w:t>ttention)</w:t>
      </w:r>
      <w:r>
        <w:rPr>
          <w:rFonts w:ascii="Times New Roman" w:cs="Times New Roman" w:hAnsi="Times New Roman"/>
          <w:sz w:val="28"/>
          <w:szCs w:val="28"/>
        </w:rPr>
        <w:t xml:space="preserve"> и многоголового внимания (</w:t>
      </w:r>
      <w:r>
        <w:rPr>
          <w:rFonts w:ascii="Times New Roman" w:cs="Times New Roman" w:hAnsi="Times New Roman"/>
          <w:sz w:val="28"/>
          <w:szCs w:val="28"/>
          <w:lang w:val="en-US"/>
        </w:rPr>
        <w:t>multiheaded</w:t>
      </w:r>
      <w:r>
        <w:rPr>
          <w:rFonts w:ascii="Times New Roman" w:cs="Times New Roman" w:hAnsi="Times New Roman"/>
          <w:sz w:val="28"/>
          <w:szCs w:val="28"/>
        </w:rPr>
        <w:t xml:space="preserve"> </w:t>
      </w:r>
      <w:r>
        <w:rPr>
          <w:rFonts w:ascii="Times New Roman" w:cs="Times New Roman" w:hAnsi="Times New Roman"/>
          <w:sz w:val="28"/>
          <w:szCs w:val="28"/>
          <w:lang w:val="en-US"/>
        </w:rPr>
        <w:t>attention)</w:t>
      </w:r>
      <w:r>
        <w:rPr>
          <w:rFonts w:ascii="Times New Roman" w:cs="Times New Roman" w:hAnsi="Times New Roman"/>
          <w:sz w:val="28"/>
          <w:szCs w:val="28"/>
        </w:rPr>
        <w:t xml:space="preserve"> модели трансформера (</w:t>
      </w:r>
      <w:r>
        <w:rPr>
          <w:rFonts w:ascii="Times New Roman" w:cs="Times New Roman" w:hAnsi="Times New Roman"/>
          <w:sz w:val="28"/>
          <w:szCs w:val="28"/>
          <w:lang w:val="en-US"/>
        </w:rPr>
        <w:t>transformer)</w:t>
      </w:r>
      <w:r>
        <w:rPr>
          <w:rFonts w:ascii="Times New Roman" w:cs="Times New Roman" w:hAnsi="Times New Roman"/>
          <w:sz w:val="28"/>
          <w:szCs w:val="28"/>
        </w:rPr>
        <w:t xml:space="preserve"> выявляются и визуализируются бинарные оппозиции (например, «ангел/демон», «добро/зло») в сонете Шекспира. Эти механизмы позволяют построить графы связей между элементами текста, показывая не только их различия, но и динамику размывания границ между ними. Такой подход формализует идеи Жака Деррида о деконструкции текста и различении (</w:t>
      </w:r>
      <w:r>
        <w:rPr>
          <w:rFonts w:ascii="Times New Roman" w:cs="Times New Roman" w:hAnsi="Times New Roman"/>
          <w:sz w:val="28"/>
          <w:szCs w:val="28"/>
        </w:rPr>
        <w:t>différance)</w:t>
      </w:r>
      <w:r>
        <w:rPr>
          <w:rFonts w:ascii="Times New Roman" w:cs="Times New Roman" w:hAnsi="Times New Roman"/>
          <w:sz w:val="28"/>
          <w:szCs w:val="28"/>
        </w:rPr>
        <w:t>, где значение не фиксировано, а возникает в процессе взаимодействия и отсрочки.</w:t>
      </w:r>
    </w:p>
    <w:p w14:paraId="000000DE">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Кроме того, при анализе статьи «</w:t>
      </w:r>
      <w:r>
        <w:rPr>
          <w:rFonts w:ascii="Times New Roman" w:cs="Times New Roman" w:hAnsi="Times New Roman"/>
          <w:sz w:val="28"/>
          <w:szCs w:val="28"/>
        </w:rPr>
        <w:t>Attention</w:t>
      </w:r>
      <w:r>
        <w:rPr>
          <w:rFonts w:ascii="Times New Roman" w:cs="Times New Roman" w:hAnsi="Times New Roman"/>
          <w:sz w:val="28"/>
          <w:szCs w:val="28"/>
        </w:rPr>
        <w:t xml:space="preserve"> </w:t>
      </w:r>
      <w:r>
        <w:rPr>
          <w:rFonts w:ascii="Times New Roman" w:cs="Times New Roman" w:hAnsi="Times New Roman"/>
          <w:sz w:val="28"/>
          <w:szCs w:val="28"/>
        </w:rPr>
        <w:t>Is</w:t>
      </w:r>
      <w:r>
        <w:rPr>
          <w:rFonts w:ascii="Times New Roman" w:cs="Times New Roman" w:hAnsi="Times New Roman"/>
          <w:sz w:val="28"/>
          <w:szCs w:val="28"/>
        </w:rPr>
        <w:t xml:space="preserve"> All We </w:t>
      </w:r>
      <w:r>
        <w:rPr>
          <w:rFonts w:ascii="Times New Roman" w:cs="Times New Roman" w:hAnsi="Times New Roman"/>
          <w:sz w:val="28"/>
          <w:szCs w:val="28"/>
        </w:rPr>
        <w:t>Need</w:t>
      </w:r>
      <w:r>
        <w:rPr>
          <w:rFonts w:ascii="Times New Roman" w:cs="Times New Roman" w:hAnsi="Times New Roman"/>
          <w:sz w:val="28"/>
          <w:szCs w:val="28"/>
        </w:rPr>
        <w:t>» моделью подробно разбирается, как различные типы внимания (</w:t>
      </w:r>
      <w:r>
        <w:rPr>
          <w:rFonts w:ascii="Times New Roman" w:cs="Times New Roman" w:hAnsi="Times New Roman"/>
          <w:sz w:val="28"/>
          <w:szCs w:val="28"/>
        </w:rPr>
        <w:t>самовнимание</w:t>
      </w:r>
      <w:r>
        <w:rPr>
          <w:rFonts w:ascii="Times New Roman" w:cs="Times New Roman" w:hAnsi="Times New Roman"/>
          <w:sz w:val="28"/>
          <w:szCs w:val="28"/>
        </w:rPr>
        <w:t xml:space="preserve">, многоголовое, линейное, управляемое и скрытое) применяются к текстам разных жанров — от поэзии до юридических документов. Например, для поэтических текстов ключевым оказывается выявление метафор и ритмических структур, тогда как в научных и новостных текстах акцент делается на установление логических и причинно-следственных связей. Это позволяет не только анализировать тексты на семантическом уровне, но и категоризировать их, выделяя скрытые темы и структурные особенности, что подтверждает универсальность и гибкость инструментов </w:t>
      </w:r>
      <w:r>
        <w:rPr>
          <w:rFonts w:ascii="Times New Roman" w:cs="Times New Roman" w:hAnsi="Times New Roman"/>
          <w:sz w:val="28"/>
          <w:szCs w:val="28"/>
        </w:rPr>
        <w:t>Б</w:t>
      </w:r>
      <w:r>
        <w:rPr>
          <w:rFonts w:ascii="Times New Roman" w:cs="Times New Roman" w:hAnsi="Times New Roman"/>
          <w:sz w:val="28"/>
          <w:szCs w:val="28"/>
        </w:rPr>
        <w:t>ольших языковых моделей в обработке естественного языка.</w:t>
      </w:r>
    </w:p>
    <w:p w14:paraId="000000DF">
      <w:pPr>
        <w:spacing w:line="360" w:lineRule="auto"/>
        <w:ind w:firstLine="708"/>
        <w:jc w:val="both"/>
        <w:rPr>
          <w:rFonts w:ascii="Times New Roman" w:cs="Times New Roman" w:hAnsi="Times New Roman"/>
          <w:sz w:val="28"/>
          <w:szCs w:val="28"/>
        </w:rPr>
      </w:pPr>
      <w:r>
        <w:rPr>
          <w:rStyle w:val="Footnotereference"/>
          <w:rFonts w:ascii="Times New Roman" w:cs="Times New Roman" w:hAnsi="Times New Roman"/>
          <w:sz w:val="28"/>
          <w:szCs w:val="28"/>
        </w:rPr>
        <w:footnoteReference w:id="17"/>
      </w:r>
      <w:r>
        <w:rPr>
          <w:rFonts w:ascii="Times New Roman" w:cs="Times New Roman" w:hAnsi="Times New Roman"/>
          <w:sz w:val="28"/>
          <w:szCs w:val="28"/>
        </w:rPr>
        <w:t xml:space="preserve">При работе с инструментами NLP, </w:t>
      </w:r>
      <w:r>
        <w:rPr>
          <w:rFonts w:ascii="Times New Roman" w:cs="Times New Roman" w:hAnsi="Times New Roman"/>
          <w:sz w:val="28"/>
          <w:szCs w:val="28"/>
          <w:lang w:val="en-US"/>
        </w:rPr>
        <w:t>transformer</w:t>
      </w:r>
      <w:r>
        <w:rPr>
          <w:rFonts w:ascii="Times New Roman" w:cs="Times New Roman" w:hAnsi="Times New Roman"/>
          <w:sz w:val="28"/>
          <w:szCs w:val="28"/>
        </w:rPr>
        <w:t xml:space="preserve"> и рассуждения использовались следующие языковые модели: </w:t>
      </w:r>
      <w:r>
        <w:rPr>
          <w:rFonts w:ascii="Times New Roman" w:cs="Times New Roman" w:hAnsi="Times New Roman"/>
          <w:sz w:val="28"/>
          <w:szCs w:val="28"/>
        </w:rPr>
        <w:t>DeepSeek</w:t>
      </w:r>
      <w:r>
        <w:rPr>
          <w:rFonts w:ascii="Times New Roman" w:cs="Times New Roman" w:hAnsi="Times New Roman"/>
          <w:sz w:val="28"/>
          <w:szCs w:val="28"/>
        </w:rPr>
        <w:t xml:space="preserve"> R1, </w:t>
      </w:r>
      <w:r>
        <w:rPr>
          <w:rFonts w:ascii="Times New Roman" w:cs="Times New Roman" w:hAnsi="Times New Roman"/>
          <w:sz w:val="28"/>
          <w:szCs w:val="28"/>
        </w:rPr>
        <w:t>Perplexity</w:t>
      </w:r>
      <w:r>
        <w:rPr>
          <w:rFonts w:ascii="Times New Roman" w:cs="Times New Roman" w:hAnsi="Times New Roman"/>
          <w:sz w:val="28"/>
          <w:szCs w:val="28"/>
        </w:rPr>
        <w:t xml:space="preserve"> AI, </w:t>
      </w:r>
      <w:r>
        <w:rPr>
          <w:rFonts w:ascii="Times New Roman" w:cs="Times New Roman" w:hAnsi="Times New Roman"/>
          <w:sz w:val="28"/>
          <w:szCs w:val="28"/>
        </w:rPr>
        <w:t>Chat</w:t>
      </w:r>
      <w:r>
        <w:rPr>
          <w:rFonts w:ascii="Times New Roman" w:cs="Times New Roman" w:hAnsi="Times New Roman"/>
          <w:sz w:val="28"/>
          <w:szCs w:val="28"/>
        </w:rPr>
        <w:t xml:space="preserve"> GPT 4o, </w:t>
      </w:r>
      <w:r>
        <w:rPr>
          <w:rFonts w:ascii="Times New Roman" w:cs="Times New Roman" w:hAnsi="Times New Roman"/>
          <w:sz w:val="28"/>
          <w:szCs w:val="28"/>
        </w:rPr>
        <w:t>GigaChat</w:t>
      </w:r>
      <w:r>
        <w:rPr>
          <w:rFonts w:ascii="Times New Roman" w:cs="Times New Roman" w:hAnsi="Times New Roman"/>
          <w:sz w:val="28"/>
          <w:szCs w:val="28"/>
        </w:rPr>
        <w:t xml:space="preserve">, </w:t>
      </w:r>
      <w:r>
        <w:rPr>
          <w:rFonts w:ascii="Times New Roman" w:cs="Times New Roman" w:hAnsi="Times New Roman"/>
          <w:sz w:val="28"/>
          <w:szCs w:val="28"/>
        </w:rPr>
        <w:t>Mistral</w:t>
      </w:r>
      <w:r>
        <w:rPr>
          <w:rFonts w:ascii="Times New Roman" w:cs="Times New Roman" w:hAnsi="Times New Roman"/>
          <w:sz w:val="28"/>
          <w:szCs w:val="28"/>
        </w:rPr>
        <w:t xml:space="preserve"> </w:t>
      </w:r>
      <w:r>
        <w:rPr>
          <w:rFonts w:ascii="Times New Roman" w:cs="Times New Roman" w:hAnsi="Times New Roman"/>
          <w:sz w:val="28"/>
          <w:szCs w:val="28"/>
          <w:lang w:val="en-US"/>
        </w:rPr>
        <w:t>AI</w:t>
      </w:r>
      <w:r>
        <w:rPr>
          <w:rFonts w:ascii="Times New Roman" w:cs="Times New Roman" w:hAnsi="Times New Roman"/>
          <w:sz w:val="28"/>
          <w:szCs w:val="28"/>
        </w:rPr>
        <w:t>3</w:t>
      </w:r>
      <w:r>
        <w:rPr>
          <w:rFonts w:ascii="Times New Roman" w:cs="Times New Roman" w:hAnsi="Times New Roman"/>
          <w:sz w:val="28"/>
          <w:szCs w:val="28"/>
        </w:rPr>
        <w:t>.</w:t>
      </w:r>
    </w:p>
    <w:p w14:paraId="000000E0">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 xml:space="preserve">Анализ результатов генерации на запросы показал, что наиболее исчерпывающей и аккуратной в плане отсутствия "галлюцинаций" оказалась "рассуждающая" модель DeepSeekR1, в которую встроены механизмы </w:t>
      </w:r>
      <w:r>
        <w:rPr>
          <w:rFonts w:ascii="Times New Roman" w:cs="Times New Roman" w:hAnsi="Times New Roman"/>
          <w:sz w:val="28"/>
          <w:szCs w:val="28"/>
        </w:rPr>
        <w:t>chain</w:t>
      </w:r>
      <w:r>
        <w:rPr>
          <w:rFonts w:ascii="Times New Roman" w:cs="Times New Roman" w:hAnsi="Times New Roman"/>
          <w:sz w:val="28"/>
          <w:szCs w:val="28"/>
        </w:rPr>
        <w:t>-</w:t>
      </w:r>
      <w:r>
        <w:rPr>
          <w:rFonts w:ascii="Times New Roman" w:cs="Times New Roman" w:hAnsi="Times New Roman"/>
          <w:sz w:val="28"/>
          <w:szCs w:val="28"/>
        </w:rPr>
        <w:t>of-thought (логическая цепочка)</w:t>
      </w:r>
      <w:r>
        <w:rPr>
          <w:rFonts w:ascii="Times New Roman" w:cs="Times New Roman" w:hAnsi="Times New Roman"/>
          <w:sz w:val="28"/>
          <w:szCs w:val="28"/>
        </w:rPr>
        <w:t xml:space="preserve"> и </w:t>
      </w:r>
      <w:r>
        <w:rPr>
          <w:rFonts w:ascii="Times New Roman" w:cs="Times New Roman" w:hAnsi="Times New Roman"/>
          <w:sz w:val="28"/>
          <w:szCs w:val="28"/>
          <w:lang w:val="en-US"/>
        </w:rPr>
        <w:t>k</w:t>
      </w:r>
      <w:r>
        <w:rPr>
          <w:rFonts w:ascii="Times New Roman" w:cs="Times New Roman" w:hAnsi="Times New Roman"/>
          <w:sz w:val="28"/>
          <w:szCs w:val="28"/>
        </w:rPr>
        <w:t>nowledge</w:t>
      </w:r>
      <w:r>
        <w:rPr>
          <w:rFonts w:ascii="Times New Roman" w:cs="Times New Roman" w:hAnsi="Times New Roman"/>
          <w:sz w:val="28"/>
          <w:szCs w:val="28"/>
        </w:rPr>
        <w:t xml:space="preserve"> </w:t>
      </w:r>
      <w:r>
        <w:rPr>
          <w:rFonts w:ascii="Times New Roman" w:cs="Times New Roman" w:hAnsi="Times New Roman"/>
          <w:sz w:val="28"/>
          <w:szCs w:val="28"/>
        </w:rPr>
        <w:t>graph (граф знаний)</w:t>
      </w:r>
      <w:r>
        <w:rPr>
          <w:rFonts w:ascii="Times New Roman" w:cs="Times New Roman" w:hAnsi="Times New Roman"/>
          <w:sz w:val="28"/>
          <w:szCs w:val="28"/>
        </w:rPr>
        <w:t>.  Несколько избыточная детализация при объяснении может потребовать дальнейшее информационное сжатие.</w:t>
      </w:r>
    </w:p>
    <w:p w14:paraId="000000E1">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 xml:space="preserve">Модель </w:t>
      </w:r>
      <w:r>
        <w:rPr>
          <w:rFonts w:ascii="Times New Roman" w:cs="Times New Roman" w:hAnsi="Times New Roman"/>
          <w:sz w:val="28"/>
          <w:szCs w:val="28"/>
        </w:rPr>
        <w:t>Perplexity</w:t>
      </w:r>
      <w:r>
        <w:rPr>
          <w:rFonts w:ascii="Times New Roman" w:cs="Times New Roman" w:hAnsi="Times New Roman"/>
          <w:sz w:val="28"/>
          <w:szCs w:val="28"/>
        </w:rPr>
        <w:t xml:space="preserve"> AI, аналогично "рассуждающей" модели, справляется с запросами и по составлению текста, и по построению графика. В сравнении с генерацией </w:t>
      </w:r>
      <w:r>
        <w:rPr>
          <w:rFonts w:ascii="Times New Roman" w:cs="Times New Roman" w:hAnsi="Times New Roman"/>
          <w:sz w:val="28"/>
          <w:szCs w:val="28"/>
        </w:rPr>
        <w:t>DeepSeek</w:t>
      </w:r>
      <w:r>
        <w:rPr>
          <w:rFonts w:ascii="Times New Roman" w:cs="Times New Roman" w:hAnsi="Times New Roman"/>
          <w:sz w:val="28"/>
          <w:szCs w:val="28"/>
        </w:rPr>
        <w:t xml:space="preserve"> R1, ее ответы отличаются лаконичностью с переадресацией на сетевые источники. Этот лаконизм можно было быть считать недостатком генерации, если бы не переадресация на источники, которую можно посчитать имплицитным приглашением к пользователю самому выступить экспертом. Отметим, что качество графов знания не уступает по структурированности произведенным моделью </w:t>
      </w:r>
      <w:r>
        <w:rPr>
          <w:rFonts w:ascii="Times New Roman" w:cs="Times New Roman" w:hAnsi="Times New Roman"/>
          <w:sz w:val="28"/>
          <w:szCs w:val="28"/>
        </w:rPr>
        <w:t>DeepSeek</w:t>
      </w:r>
      <w:r>
        <w:rPr>
          <w:rFonts w:ascii="Times New Roman" w:cs="Times New Roman" w:hAnsi="Times New Roman"/>
          <w:sz w:val="28"/>
          <w:szCs w:val="28"/>
        </w:rPr>
        <w:t xml:space="preserve"> R1.</w:t>
      </w:r>
    </w:p>
    <w:p w14:paraId="000000E2">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 xml:space="preserve">Российская модель </w:t>
      </w:r>
      <w:r>
        <w:rPr>
          <w:rFonts w:ascii="Times New Roman" w:cs="Times New Roman" w:hAnsi="Times New Roman"/>
          <w:sz w:val="28"/>
          <w:szCs w:val="28"/>
        </w:rPr>
        <w:t>GigaChat</w:t>
      </w:r>
      <w:r>
        <w:rPr>
          <w:rFonts w:ascii="Times New Roman" w:cs="Times New Roman" w:hAnsi="Times New Roman"/>
          <w:sz w:val="28"/>
          <w:szCs w:val="28"/>
        </w:rPr>
        <w:t xml:space="preserve">, а также французская </w:t>
      </w:r>
      <w:r>
        <w:rPr>
          <w:rFonts w:ascii="Times New Roman" w:cs="Times New Roman" w:hAnsi="Times New Roman"/>
          <w:sz w:val="28"/>
          <w:szCs w:val="28"/>
        </w:rPr>
        <w:t>Mistral</w:t>
      </w:r>
      <w:r>
        <w:rPr>
          <w:rFonts w:ascii="Times New Roman" w:cs="Times New Roman" w:hAnsi="Times New Roman"/>
          <w:sz w:val="28"/>
          <w:szCs w:val="28"/>
        </w:rPr>
        <w:t xml:space="preserve"> AI</w:t>
      </w:r>
      <w:r>
        <w:rPr>
          <w:rFonts w:ascii="Times New Roman" w:cs="Times New Roman" w:hAnsi="Times New Roman"/>
          <w:sz w:val="28"/>
          <w:szCs w:val="28"/>
        </w:rPr>
        <w:t>3</w:t>
      </w:r>
      <w:r>
        <w:rPr>
          <w:rFonts w:ascii="Times New Roman" w:cs="Times New Roman" w:hAnsi="Times New Roman"/>
          <w:sz w:val="28"/>
          <w:szCs w:val="28"/>
        </w:rPr>
        <w:t>, в принципе справляются со всеми заданиями по аналитическому использованию инструментов, возникают лишь проблемы с форматом генерации. Зачастую вместо текста собственно графа в ответе появляются элементы кода, которые требуют расшифровки.</w:t>
      </w:r>
    </w:p>
    <w:p w14:paraId="000000E3">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Модель ChatGPT 4о также справляется со всеми запросами, но поскольку она является проприетарной, пользовательский лимит быстро исчерпывается.   В этой связи наиболее пригодной для аналитических процедур с языковыми единицами представляется DeepSeekR1.</w:t>
      </w:r>
    </w:p>
    <w:p w14:paraId="000000E4">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 xml:space="preserve">Парадоксально, но взаимной валидации не поддаются морфологическая дистрибуция и токенизация. Токеном может быть и все слово, и отдельные </w:t>
      </w:r>
      <w:r>
        <w:rPr>
          <w:rFonts w:ascii="Times New Roman" w:cs="Times New Roman" w:hAnsi="Times New Roman"/>
          <w:sz w:val="28"/>
          <w:szCs w:val="28"/>
        </w:rPr>
        <w:t xml:space="preserve">графемы (буквы), которые не отражаются модифицирующие категории числа, падежа, рода, семантической основы. Так, </w:t>
      </w:r>
      <w:r>
        <w:rPr>
          <w:rFonts w:ascii="Times New Roman" w:cs="Times New Roman" w:hAnsi="Times New Roman"/>
          <w:sz w:val="28"/>
          <w:szCs w:val="28"/>
        </w:rPr>
        <w:t>DeepSeek</w:t>
      </w:r>
      <w:r>
        <w:rPr>
          <w:rFonts w:ascii="Times New Roman" w:cs="Times New Roman" w:hAnsi="Times New Roman"/>
          <w:sz w:val="28"/>
          <w:szCs w:val="28"/>
        </w:rPr>
        <w:t xml:space="preserve"> R1 представляет тождественными по структуре английские слова </w:t>
      </w:r>
      <w:r>
        <w:rPr>
          <w:rFonts w:ascii="Times New Roman" w:cs="Times New Roman" w:hAnsi="Times New Roman"/>
          <w:sz w:val="28"/>
          <w:szCs w:val="28"/>
        </w:rPr>
        <w:t>kitten</w:t>
      </w:r>
      <w:r>
        <w:rPr>
          <w:rFonts w:ascii="Times New Roman" w:cs="Times New Roman" w:hAnsi="Times New Roman"/>
          <w:sz w:val="28"/>
          <w:szCs w:val="28"/>
        </w:rPr>
        <w:t xml:space="preserve"> (</w:t>
      </w:r>
      <w:r>
        <w:rPr>
          <w:rFonts w:ascii="Times New Roman" w:cs="Times New Roman" w:hAnsi="Times New Roman"/>
          <w:sz w:val="28"/>
          <w:szCs w:val="28"/>
        </w:rPr>
        <w:t>singular</w:t>
      </w:r>
      <w:r>
        <w:rPr>
          <w:rFonts w:ascii="Times New Roman" w:cs="Times New Roman" w:hAnsi="Times New Roman"/>
          <w:sz w:val="28"/>
          <w:szCs w:val="28"/>
        </w:rPr>
        <w:t xml:space="preserve">) и </w:t>
      </w:r>
      <w:r>
        <w:rPr>
          <w:rFonts w:ascii="Times New Roman" w:cs="Times New Roman" w:hAnsi="Times New Roman"/>
          <w:sz w:val="28"/>
          <w:szCs w:val="28"/>
        </w:rPr>
        <w:t>children</w:t>
      </w:r>
      <w:r>
        <w:rPr>
          <w:rFonts w:ascii="Times New Roman" w:cs="Times New Roman" w:hAnsi="Times New Roman"/>
          <w:sz w:val="28"/>
          <w:szCs w:val="28"/>
        </w:rPr>
        <w:t xml:space="preserve"> (</w:t>
      </w:r>
      <w:r>
        <w:rPr>
          <w:rFonts w:ascii="Times New Roman" w:cs="Times New Roman" w:hAnsi="Times New Roman"/>
          <w:sz w:val="28"/>
          <w:szCs w:val="28"/>
        </w:rPr>
        <w:t>plural</w:t>
      </w:r>
      <w:r>
        <w:rPr>
          <w:rFonts w:ascii="Times New Roman" w:cs="Times New Roman" w:hAnsi="Times New Roman"/>
          <w:sz w:val="28"/>
          <w:szCs w:val="28"/>
        </w:rPr>
        <w:t xml:space="preserve">). Первое невозможно разделить по морфемам, второе является </w:t>
      </w:r>
      <w:r>
        <w:rPr>
          <w:rFonts w:ascii="Times New Roman" w:cs="Times New Roman" w:hAnsi="Times New Roman"/>
          <w:sz w:val="28"/>
          <w:szCs w:val="28"/>
        </w:rPr>
        <w:t>трехморфемным</w:t>
      </w:r>
      <w:r>
        <w:rPr>
          <w:rFonts w:ascii="Times New Roman" w:cs="Times New Roman" w:hAnsi="Times New Roman"/>
          <w:sz w:val="28"/>
          <w:szCs w:val="28"/>
        </w:rPr>
        <w:t xml:space="preserve"> (</w:t>
      </w:r>
      <w:r>
        <w:rPr>
          <w:rFonts w:ascii="Times New Roman" w:cs="Times New Roman" w:hAnsi="Times New Roman"/>
          <w:sz w:val="28"/>
          <w:szCs w:val="28"/>
        </w:rPr>
        <w:t>child</w:t>
      </w:r>
      <w:r>
        <w:rPr>
          <w:rFonts w:ascii="Times New Roman" w:cs="Times New Roman" w:hAnsi="Times New Roman"/>
          <w:sz w:val="28"/>
          <w:szCs w:val="28"/>
        </w:rPr>
        <w:t>-r-</w:t>
      </w:r>
      <w:r>
        <w:rPr>
          <w:rFonts w:ascii="Times New Roman" w:cs="Times New Roman" w:hAnsi="Times New Roman"/>
          <w:sz w:val="28"/>
          <w:szCs w:val="28"/>
        </w:rPr>
        <w:t>en</w:t>
      </w:r>
      <w:r>
        <w:rPr>
          <w:rFonts w:ascii="Times New Roman" w:cs="Times New Roman" w:hAnsi="Times New Roman"/>
          <w:sz w:val="28"/>
          <w:szCs w:val="28"/>
        </w:rPr>
        <w:t xml:space="preserve"> – корень, основа родства и окончание множественного числа). Очевидно, что по своим функциям морфемы и токены не </w:t>
      </w:r>
      <w:r>
        <w:rPr>
          <w:rFonts w:ascii="Times New Roman" w:cs="Times New Roman" w:hAnsi="Times New Roman"/>
          <w:sz w:val="28"/>
          <w:szCs w:val="28"/>
        </w:rPr>
        <w:t>тождественны</w:t>
      </w:r>
      <w:r>
        <w:rPr>
          <w:rFonts w:ascii="Times New Roman" w:cs="Times New Roman" w:hAnsi="Times New Roman"/>
          <w:sz w:val="28"/>
          <w:szCs w:val="28"/>
        </w:rPr>
        <w:t>.</w:t>
      </w:r>
    </w:p>
    <w:p w14:paraId="000000E5">
      <w:pPr>
        <w:spacing w:line="360" w:lineRule="auto"/>
        <w:jc w:val="both"/>
        <w:rPr>
          <w:rFonts w:ascii="Times New Roman" w:cs="Times New Roman" w:hAnsi="Times New Roman"/>
          <w:sz w:val="28"/>
          <w:szCs w:val="28"/>
        </w:rPr>
      </w:pPr>
    </w:p>
    <w:p w14:paraId="000000E6">
      <w:pPr>
        <w:spacing w:line="360" w:lineRule="auto"/>
        <w:jc w:val="both"/>
        <w:rPr>
          <w:rFonts w:ascii="Times New Roman" w:cs="Times New Roman" w:hAnsi="Times New Roman"/>
          <w:sz w:val="28"/>
          <w:szCs w:val="28"/>
        </w:rPr>
      </w:pPr>
      <w:r>
        <w:rPr>
          <w:rFonts w:ascii="Times New Roman" w:cs="Times New Roman" w:hAnsi="Times New Roman"/>
          <w:sz w:val="28"/>
          <w:szCs w:val="28"/>
        </w:rPr>
        <w:t>ВЫВОДЫ</w:t>
      </w:r>
    </w:p>
    <w:p w14:paraId="000000E7">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Все аналитические процедуры, которые мы предприняли при использовании "</w:t>
      </w:r>
      <w:r>
        <w:rPr>
          <w:rFonts w:ascii="Times New Roman" w:cs="Times New Roman" w:hAnsi="Times New Roman"/>
          <w:sz w:val="28"/>
          <w:szCs w:val="28"/>
        </w:rPr>
        <w:t>внутримодельных</w:t>
      </w:r>
      <w:r>
        <w:rPr>
          <w:rFonts w:ascii="Times New Roman" w:cs="Times New Roman" w:hAnsi="Times New Roman"/>
          <w:sz w:val="28"/>
          <w:szCs w:val="28"/>
        </w:rPr>
        <w:t>" инструментов генеративных языковых моделей, по сути, представляют собою комбинированн</w:t>
      </w:r>
      <w:r>
        <w:rPr>
          <w:rFonts w:ascii="Times New Roman" w:cs="Times New Roman" w:hAnsi="Times New Roman"/>
          <w:sz w:val="28"/>
          <w:szCs w:val="28"/>
        </w:rPr>
        <w:t>ую</w:t>
      </w:r>
      <w:r>
        <w:rPr>
          <w:rFonts w:ascii="Times New Roman" w:cs="Times New Roman" w:hAnsi="Times New Roman"/>
          <w:sz w:val="28"/>
          <w:szCs w:val="28"/>
        </w:rPr>
        <w:t xml:space="preserve"> обработку вербальных текстов (</w:t>
      </w:r>
      <w:r>
        <w:rPr>
          <w:rFonts w:ascii="Times New Roman" w:cs="Times New Roman" w:hAnsi="Times New Roman"/>
          <w:sz w:val="28"/>
          <w:szCs w:val="28"/>
        </w:rPr>
        <w:t>human</w:t>
      </w:r>
      <w:r>
        <w:rPr>
          <w:rFonts w:ascii="Times New Roman" w:cs="Times New Roman" w:hAnsi="Times New Roman"/>
          <w:sz w:val="28"/>
          <w:szCs w:val="28"/>
        </w:rPr>
        <w:t xml:space="preserve"> </w:t>
      </w:r>
      <w:r>
        <w:rPr>
          <w:rFonts w:ascii="Times New Roman" w:cs="Times New Roman" w:hAnsi="Times New Roman"/>
          <w:sz w:val="28"/>
          <w:szCs w:val="28"/>
        </w:rPr>
        <w:t>verbal</w:t>
      </w:r>
      <w:r>
        <w:rPr>
          <w:rFonts w:ascii="Times New Roman" w:cs="Times New Roman" w:hAnsi="Times New Roman"/>
          <w:sz w:val="28"/>
          <w:szCs w:val="28"/>
        </w:rPr>
        <w:t xml:space="preserve"> </w:t>
      </w:r>
      <w:r>
        <w:rPr>
          <w:rFonts w:ascii="Times New Roman" w:cs="Times New Roman" w:hAnsi="Times New Roman"/>
          <w:sz w:val="28"/>
          <w:szCs w:val="28"/>
        </w:rPr>
        <w:t>texts</w:t>
      </w:r>
      <w:r>
        <w:rPr>
          <w:rFonts w:ascii="Times New Roman" w:cs="Times New Roman" w:hAnsi="Times New Roman"/>
          <w:sz w:val="28"/>
          <w:szCs w:val="28"/>
        </w:rPr>
        <w:t xml:space="preserve"> </w:t>
      </w:r>
      <w:r>
        <w:rPr>
          <w:rFonts w:ascii="Times New Roman" w:cs="Times New Roman" w:hAnsi="Times New Roman"/>
          <w:sz w:val="28"/>
          <w:szCs w:val="28"/>
        </w:rPr>
        <w:t>processing</w:t>
      </w:r>
      <w:r>
        <w:rPr>
          <w:rFonts w:ascii="Times New Roman" w:cs="Times New Roman" w:hAnsi="Times New Roman"/>
          <w:sz w:val="28"/>
          <w:szCs w:val="28"/>
        </w:rPr>
        <w:t xml:space="preserve">). Полученные результаты запросов на обработку, а также собственный экспертный анализ по параметрам классических объяснительных лингвистических моделей создали базу для последующего исследования языковых и дискурсивных единиц при минимальном проценте </w:t>
      </w:r>
      <w:r>
        <w:rPr>
          <w:rFonts w:ascii="Times New Roman" w:cs="Times New Roman" w:hAnsi="Times New Roman"/>
          <w:sz w:val="28"/>
          <w:szCs w:val="28"/>
        </w:rPr>
        <w:t>субъективизации</w:t>
      </w:r>
      <w:r>
        <w:rPr>
          <w:rFonts w:ascii="Times New Roman" w:cs="Times New Roman" w:hAnsi="Times New Roman"/>
          <w:sz w:val="28"/>
          <w:szCs w:val="28"/>
        </w:rPr>
        <w:t xml:space="preserve"> результатов.</w:t>
      </w:r>
    </w:p>
    <w:p w14:paraId="000000E8">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 xml:space="preserve">Работа студентов с инструментами </w:t>
      </w:r>
      <w:r>
        <w:rPr>
          <w:rFonts w:ascii="Times New Roman" w:cs="Times New Roman" w:hAnsi="Times New Roman"/>
          <w:sz w:val="28"/>
          <w:szCs w:val="28"/>
        </w:rPr>
        <w:t>Б</w:t>
      </w:r>
      <w:r>
        <w:rPr>
          <w:rFonts w:ascii="Times New Roman" w:cs="Times New Roman" w:hAnsi="Times New Roman"/>
          <w:sz w:val="28"/>
          <w:szCs w:val="28"/>
        </w:rPr>
        <w:t>ольших языковых моделей показала, что при общем для всех задании преподавателя по комбинированной обработке текстов феномен множественности интерпретации сохранился. Это обусловлено прежде всего выбором моделей, различной формулировкой запроса (</w:t>
      </w:r>
      <w:r>
        <w:rPr>
          <w:rFonts w:ascii="Times New Roman" w:cs="Times New Roman" w:hAnsi="Times New Roman"/>
          <w:sz w:val="28"/>
          <w:szCs w:val="28"/>
          <w:lang w:val="en-US"/>
        </w:rPr>
        <w:t>prompt</w:t>
      </w:r>
      <w:r>
        <w:rPr>
          <w:rFonts w:ascii="Times New Roman" w:cs="Times New Roman" w:hAnsi="Times New Roman"/>
          <w:sz w:val="28"/>
          <w:szCs w:val="28"/>
        </w:rPr>
        <w:t>), а также зависимостью от аналитических компетенций и предпочтений студентов.</w:t>
      </w:r>
    </w:p>
    <w:p w14:paraId="000000E9">
      <w:pPr>
        <w:spacing w:line="360" w:lineRule="auto"/>
        <w:ind w:firstLine="708"/>
        <w:jc w:val="both"/>
        <w:rPr>
          <w:rFonts w:ascii="Times New Roman" w:cs="Times New Roman" w:hAnsi="Times New Roman"/>
          <w:sz w:val="28"/>
          <w:szCs w:val="28"/>
        </w:rPr>
      </w:pPr>
      <w:r>
        <w:rPr>
          <w:rFonts w:ascii="Times New Roman" w:cs="Times New Roman" w:hAnsi="Times New Roman"/>
          <w:sz w:val="28"/>
          <w:szCs w:val="28"/>
        </w:rPr>
        <w:t xml:space="preserve">Использование </w:t>
      </w:r>
      <w:r>
        <w:rPr>
          <w:rFonts w:ascii="Times New Roman" w:cs="Times New Roman" w:hAnsi="Times New Roman"/>
          <w:sz w:val="28"/>
          <w:szCs w:val="28"/>
        </w:rPr>
        <w:t>внутримодельных</w:t>
      </w:r>
      <w:r>
        <w:rPr>
          <w:rFonts w:ascii="Times New Roman" w:cs="Times New Roman" w:hAnsi="Times New Roman"/>
          <w:sz w:val="28"/>
          <w:szCs w:val="28"/>
        </w:rPr>
        <w:t xml:space="preserve"> инструментов при одновременной обработке гетерогенных текстов помогает студентам получить структурированное комплексное знание, которое при дальнейшем экспертном комментировании помогает усвоить достаточно сложные теории и вывести </w:t>
      </w:r>
      <w:r>
        <w:rPr>
          <w:rFonts w:ascii="Times New Roman" w:cs="Times New Roman" w:hAnsi="Times New Roman"/>
          <w:sz w:val="28"/>
          <w:szCs w:val="28"/>
        </w:rPr>
        <w:t>собственные алгоритмы исследования, построенные на комбинированном (</w:t>
      </w:r>
      <w:r>
        <w:rPr>
          <w:rFonts w:ascii="Times New Roman" w:cs="Times New Roman" w:hAnsi="Times New Roman"/>
          <w:sz w:val="28"/>
          <w:szCs w:val="28"/>
        </w:rPr>
        <w:t>augumented</w:t>
      </w:r>
      <w:r>
        <w:rPr>
          <w:rFonts w:ascii="Times New Roman" w:cs="Times New Roman" w:hAnsi="Times New Roman"/>
          <w:sz w:val="28"/>
          <w:szCs w:val="28"/>
        </w:rPr>
        <w:t>) подходе.</w:t>
      </w:r>
    </w:p>
    <w:p w14:paraId="000000EA">
      <w:pPr>
        <w:spacing w:after="0" w:line="360" w:lineRule="auto"/>
        <w:ind w:firstLine="708"/>
        <w:jc w:val="both"/>
        <w:rPr>
          <w:rFonts w:ascii="Times New Roman" w:cs="Times New Roman" w:hAnsi="Times New Roman"/>
          <w:sz w:val="28"/>
          <w:szCs w:val="28"/>
        </w:rPr>
      </w:pPr>
      <w:r>
        <w:rPr>
          <w:rFonts w:ascii="Times New Roman" w:cs="Times New Roman" w:hAnsi="Times New Roman"/>
          <w:sz w:val="28"/>
          <w:szCs w:val="28"/>
        </w:rPr>
        <w:t xml:space="preserve">Парадоксально, но использование инструментов </w:t>
      </w:r>
      <w:r>
        <w:rPr>
          <w:rFonts w:ascii="Times New Roman" w:cs="Times New Roman" w:hAnsi="Times New Roman"/>
          <w:sz w:val="28"/>
          <w:szCs w:val="28"/>
        </w:rPr>
        <w:t>LLMs</w:t>
      </w:r>
      <w:r>
        <w:rPr>
          <w:rFonts w:ascii="Times New Roman" w:cs="Times New Roman" w:hAnsi="Times New Roman"/>
          <w:sz w:val="28"/>
          <w:szCs w:val="28"/>
        </w:rPr>
        <w:t xml:space="preserve"> помогло доказать истинность как "</w:t>
      </w:r>
      <w:r>
        <w:rPr>
          <w:rFonts w:ascii="Times New Roman" w:cs="Times New Roman" w:hAnsi="Times New Roman"/>
          <w:sz w:val="28"/>
          <w:szCs w:val="28"/>
        </w:rPr>
        <w:t>логоцентричных</w:t>
      </w:r>
      <w:r>
        <w:rPr>
          <w:rFonts w:ascii="Times New Roman" w:cs="Times New Roman" w:hAnsi="Times New Roman"/>
          <w:sz w:val="28"/>
          <w:szCs w:val="28"/>
        </w:rPr>
        <w:t xml:space="preserve">" построений Остина и </w:t>
      </w:r>
      <w:r>
        <w:rPr>
          <w:rFonts w:ascii="Times New Roman" w:cs="Times New Roman" w:hAnsi="Times New Roman"/>
          <w:sz w:val="28"/>
          <w:szCs w:val="28"/>
        </w:rPr>
        <w:t>Сёрля</w:t>
      </w:r>
      <w:r>
        <w:rPr>
          <w:rFonts w:ascii="Times New Roman" w:cs="Times New Roman" w:hAnsi="Times New Roman"/>
          <w:sz w:val="28"/>
          <w:szCs w:val="28"/>
        </w:rPr>
        <w:t xml:space="preserve">, так и </w:t>
      </w:r>
      <w:r>
        <w:rPr>
          <w:rFonts w:ascii="Times New Roman" w:cs="Times New Roman" w:hAnsi="Times New Roman"/>
          <w:sz w:val="28"/>
          <w:szCs w:val="28"/>
        </w:rPr>
        <w:t>текстоцентризм</w:t>
      </w:r>
      <w:r>
        <w:rPr>
          <w:rFonts w:ascii="Times New Roman" w:cs="Times New Roman" w:hAnsi="Times New Roman"/>
          <w:sz w:val="28"/>
          <w:szCs w:val="28"/>
        </w:rPr>
        <w:t xml:space="preserve"> и контекстную обусловленность </w:t>
      </w:r>
      <w:r>
        <w:rPr>
          <w:rFonts w:ascii="Times New Roman" w:cs="Times New Roman" w:hAnsi="Times New Roman"/>
          <w:sz w:val="28"/>
          <w:szCs w:val="28"/>
        </w:rPr>
        <w:t>смыслопорождения</w:t>
      </w:r>
      <w:r>
        <w:rPr>
          <w:rFonts w:ascii="Times New Roman" w:cs="Times New Roman" w:hAnsi="Times New Roman"/>
          <w:sz w:val="28"/>
          <w:szCs w:val="28"/>
        </w:rPr>
        <w:t>, следующие из деконструктивизма Жака Деррида. Очевиден верификационный потенциал Больших языковых моделей.</w:t>
      </w:r>
    </w:p>
    <w:p w14:paraId="000000EB">
      <w:pPr>
        <w:spacing w:line="360" w:lineRule="auto"/>
        <w:jc w:val="both"/>
        <w:rPr>
          <w:rFonts w:ascii="Times New Roman" w:cs="Times New Roman" w:hAnsi="Times New Roman"/>
          <w:sz w:val="28"/>
          <w:szCs w:val="28"/>
        </w:rPr>
      </w:pPr>
    </w:p>
    <w:p w14:paraId="000000EC">
      <w:pPr>
        <w:spacing w:line="360" w:lineRule="auto"/>
        <w:jc w:val="both"/>
        <w:rPr>
          <w:rFonts w:ascii="Times New Roman" w:cs="Times New Roman" w:hAnsi="Times New Roman"/>
          <w:sz w:val="28"/>
          <w:szCs w:val="28"/>
        </w:rPr>
      </w:pPr>
      <w:r>
        <w:rPr>
          <w:rFonts w:ascii="Times New Roman" w:cs="Times New Roman" w:hAnsi="Times New Roman"/>
          <w:sz w:val="28"/>
          <w:szCs w:val="28"/>
        </w:rPr>
        <w:t>ЛИТЕРАТУРА</w:t>
      </w:r>
    </w:p>
    <w:p w14:paraId="000000ED">
      <w:pPr>
        <w:pStyle w:val="ListParagraph"/>
        <w:numPr>
          <w:ilvl w:val="0"/>
          <w:numId w:val="16"/>
        </w:numPr>
        <w:spacing w:after="0" w:line="240" w:lineRule="auto"/>
        <w:jc w:val="both"/>
        <w:rPr>
          <w:rFonts w:ascii="Times New Roman" w:cs="Times New Roman" w:hAnsi="Times New Roman"/>
          <w:sz w:val="24"/>
          <w:szCs w:val="24"/>
        </w:rPr>
      </w:pPr>
      <w:r>
        <w:rPr>
          <w:rFonts w:ascii="Times New Roman" w:cs="Times New Roman" w:hAnsi="Times New Roman"/>
          <w:sz w:val="24"/>
          <w:szCs w:val="24"/>
        </w:rPr>
        <w:t>Белозёрова, Н. Н. </w:t>
      </w:r>
      <w:r>
        <w:rPr>
          <w:rFonts w:ascii="Times New Roman" w:cs="Times New Roman" w:hAnsi="Times New Roman"/>
          <w:i/>
          <w:iCs/>
          <w:sz w:val="24"/>
          <w:szCs w:val="24"/>
        </w:rPr>
        <w:t>Мир реальный и мир виртуальный: две экологические системы?</w:t>
      </w:r>
      <w:r>
        <w:rPr>
          <w:rFonts w:ascii="Times New Roman" w:cs="Times New Roman" w:hAnsi="Times New Roman"/>
          <w:sz w:val="24"/>
          <w:szCs w:val="24"/>
        </w:rPr>
        <w:t xml:space="preserve"> Издательство Тюменского государственного университета, 2010.</w:t>
      </w:r>
    </w:p>
    <w:p w14:paraId="000000EE">
      <w:pPr>
        <w:pStyle w:val="Footnotetext"/>
        <w:numPr>
          <w:ilvl w:val="0"/>
          <w:numId w:val="16"/>
        </w:numPr>
        <w:rPr>
          <w:rFonts w:ascii="Times New Roman" w:cs="Times New Roman" w:hAnsi="Times New Roman"/>
          <w:sz w:val="24"/>
          <w:szCs w:val="24"/>
        </w:rPr>
      </w:pPr>
      <w:r>
        <w:rPr>
          <w:rFonts w:ascii="Times New Roman" w:cs="Times New Roman" w:hAnsi="Times New Roman"/>
          <w:sz w:val="24"/>
          <w:szCs w:val="24"/>
        </w:rPr>
        <w:t>Гадамер, Х. </w:t>
      </w:r>
      <w:r>
        <w:rPr>
          <w:rFonts w:ascii="Times New Roman" w:cs="Times New Roman" w:hAnsi="Times New Roman"/>
          <w:i/>
          <w:iCs/>
          <w:sz w:val="24"/>
          <w:szCs w:val="24"/>
        </w:rPr>
        <w:t>Истина и метод: Основы философской герменевтики</w:t>
      </w:r>
      <w:r>
        <w:rPr>
          <w:rFonts w:ascii="Times New Roman" w:cs="Times New Roman" w:hAnsi="Times New Roman"/>
          <w:sz w:val="24"/>
          <w:szCs w:val="24"/>
        </w:rPr>
        <w:t xml:space="preserve">. </w:t>
      </w:r>
      <w:r>
        <w:rPr>
          <w:rFonts w:ascii="Times New Roman" w:cs="Times New Roman" w:hAnsi="Times New Roman"/>
          <w:sz w:val="24"/>
          <w:szCs w:val="24"/>
        </w:rPr>
        <w:t>DirectMEDIA</w:t>
      </w:r>
      <w:r>
        <w:rPr>
          <w:rFonts w:ascii="Times New Roman" w:cs="Times New Roman" w:hAnsi="Times New Roman"/>
          <w:sz w:val="24"/>
          <w:szCs w:val="24"/>
        </w:rPr>
        <w:t xml:space="preserve">, 1988. </w:t>
      </w:r>
    </w:p>
    <w:p w14:paraId="000000EF">
      <w:pPr>
        <w:pStyle w:val="Footnotetext"/>
        <w:numPr>
          <w:ilvl w:val="0"/>
          <w:numId w:val="16"/>
        </w:numPr>
        <w:rPr>
          <w:rFonts w:ascii="Times New Roman" w:cs="Times New Roman" w:hAnsi="Times New Roman"/>
          <w:sz w:val="24"/>
          <w:szCs w:val="24"/>
        </w:rPr>
      </w:pPr>
      <w:r>
        <w:rPr>
          <w:rFonts w:ascii="Times New Roman" w:cs="Times New Roman" w:hAnsi="Times New Roman"/>
          <w:sz w:val="24"/>
          <w:szCs w:val="24"/>
        </w:rPr>
        <w:t>Хайдеггер, М. "ФЕНОМЕНОЛОГИЯ ПОНИМАНИЯ СЛОВА. СЛОВО В ГЕРМЕНЕВТИЧЕСКОМ АСПЕКТЕ. ГЕРМЕНЕВТИЧЕСКИЕ КРУГИ."</w:t>
      </w:r>
    </w:p>
    <w:p w14:paraId="000000F0">
      <w:pPr>
        <w:pStyle w:val="ListParagraph"/>
        <w:numPr>
          <w:ilvl w:val="0"/>
          <w:numId w:val="16"/>
        </w:numPr>
        <w:spacing w:after="0" w:line="240" w:lineRule="auto"/>
        <w:rPr>
          <w:rFonts w:ascii="Times New Roman" w:cs="Times New Roman" w:hAnsi="Times New Roman"/>
          <w:sz w:val="24"/>
          <w:szCs w:val="24"/>
          <w:lang w:val="en-US"/>
        </w:rPr>
      </w:pPr>
      <w:r>
        <w:rPr>
          <w:rFonts w:ascii="Times New Roman" w:cs="Times New Roman" w:hAnsi="Times New Roman"/>
          <w:sz w:val="24"/>
          <w:szCs w:val="24"/>
          <w:lang w:val="en-US"/>
        </w:rPr>
        <w:t>Alfino, Mark. "Another look at the Derrida-Searle debate." </w:t>
      </w:r>
      <w:r>
        <w:rPr>
          <w:rFonts w:ascii="Times New Roman" w:cs="Times New Roman" w:hAnsi="Times New Roman"/>
          <w:i/>
          <w:iCs/>
          <w:sz w:val="24"/>
          <w:szCs w:val="24"/>
          <w:lang w:val="en-US"/>
        </w:rPr>
        <w:t>Philosophy &amp; Rhetoric</w:t>
      </w:r>
      <w:r>
        <w:rPr>
          <w:rFonts w:ascii="Times New Roman" w:cs="Times New Roman" w:hAnsi="Times New Roman"/>
          <w:sz w:val="24"/>
          <w:szCs w:val="24"/>
          <w:lang w:val="en-US"/>
        </w:rPr>
        <w:t> (1991): 143-152.</w:t>
      </w:r>
    </w:p>
    <w:p w14:paraId="000000F1">
      <w:pPr>
        <w:pStyle w:val="ListParagraph"/>
        <w:numPr>
          <w:ilvl w:val="0"/>
          <w:numId w:val="16"/>
        </w:numPr>
        <w:rPr>
          <w:rFonts w:ascii="Times New Roman" w:cs="Times New Roman" w:hAnsi="Times New Roman"/>
          <w:sz w:val="24"/>
          <w:szCs w:val="24"/>
          <w:lang w:val="en-US"/>
        </w:rPr>
      </w:pPr>
      <w:r>
        <w:rPr>
          <w:rFonts w:ascii="Times New Roman" w:cs="Times New Roman" w:hAnsi="Times New Roman"/>
          <w:sz w:val="24"/>
          <w:szCs w:val="24"/>
          <w:lang w:val="en-US"/>
        </w:rPr>
        <w:t>Austin, John Langshaw. </w:t>
      </w:r>
      <w:r>
        <w:rPr>
          <w:rFonts w:ascii="Times New Roman" w:cs="Times New Roman" w:hAnsi="Times New Roman"/>
          <w:i/>
          <w:iCs/>
          <w:sz w:val="24"/>
          <w:szCs w:val="24"/>
          <w:lang w:val="en-US"/>
        </w:rPr>
        <w:t>How to do things with words</w:t>
      </w:r>
      <w:r>
        <w:rPr>
          <w:rFonts w:ascii="Times New Roman" w:cs="Times New Roman" w:hAnsi="Times New Roman"/>
          <w:sz w:val="24"/>
          <w:szCs w:val="24"/>
          <w:lang w:val="en-US"/>
        </w:rPr>
        <w:t>. Harvard university press, 1975.</w:t>
      </w:r>
    </w:p>
    <w:p w14:paraId="000000F2">
      <w:pPr>
        <w:pStyle w:val="ListParagraph"/>
        <w:numPr>
          <w:ilvl w:val="0"/>
          <w:numId w:val="16"/>
        </w:numPr>
        <w:rPr>
          <w:rFonts w:ascii="Times New Roman" w:cs="Times New Roman" w:hAnsi="Times New Roman"/>
          <w:sz w:val="24"/>
          <w:szCs w:val="24"/>
          <w:lang w:val="en-US"/>
        </w:rPr>
      </w:pPr>
      <w:r>
        <w:rPr>
          <w:rFonts w:ascii="Times New Roman" w:cs="Times New Roman" w:hAnsi="Times New Roman"/>
          <w:sz w:val="24"/>
          <w:szCs w:val="24"/>
          <w:lang w:val="en-US"/>
        </w:rPr>
        <w:t>Bass, Alan. "‘Signature Event Context’: Margins of Philosophy (Derrida 1982 [First Published 1972])." </w:t>
      </w:r>
      <w:r>
        <w:rPr>
          <w:rFonts w:ascii="Times New Roman" w:cs="Times New Roman" w:hAnsi="Times New Roman"/>
          <w:i/>
          <w:iCs/>
          <w:sz w:val="24"/>
          <w:szCs w:val="24"/>
          <w:lang w:val="en-US"/>
        </w:rPr>
        <w:t>Jacques Derrida: Basic Writings</w:t>
      </w:r>
      <w:r>
        <w:rPr>
          <w:rFonts w:ascii="Times New Roman" w:cs="Times New Roman" w:hAnsi="Times New Roman"/>
          <w:sz w:val="24"/>
          <w:szCs w:val="24"/>
          <w:lang w:val="en-US"/>
        </w:rPr>
        <w:t>. Routledge, 2020. 105-134.</w:t>
      </w:r>
    </w:p>
    <w:p w14:paraId="000000F3">
      <w:pPr>
        <w:pStyle w:val="ListParagraph"/>
        <w:numPr>
          <w:ilvl w:val="0"/>
          <w:numId w:val="16"/>
        </w:numPr>
        <w:rPr>
          <w:rFonts w:ascii="Times New Roman" w:cs="Times New Roman" w:hAnsi="Times New Roman"/>
          <w:sz w:val="24"/>
          <w:szCs w:val="24"/>
          <w:lang w:val="en-US"/>
        </w:rPr>
      </w:pPr>
      <w:r>
        <w:rPr>
          <w:rFonts w:ascii="Times New Roman" w:cs="Times New Roman" w:hAnsi="Times New Roman"/>
          <w:sz w:val="24"/>
          <w:szCs w:val="24"/>
          <w:lang w:val="en-US"/>
        </w:rPr>
        <w:t>Bornedal, Peter. "Deconstructive vs Pragmatic: A Critique of the Derrida–Searle Debate." </w:t>
      </w:r>
      <w:r>
        <w:rPr>
          <w:rFonts w:ascii="Times New Roman" w:cs="Times New Roman" w:hAnsi="Times New Roman"/>
          <w:i/>
          <w:iCs/>
          <w:sz w:val="24"/>
          <w:szCs w:val="24"/>
          <w:lang w:val="en-US"/>
        </w:rPr>
        <w:t>The European Legacy</w:t>
      </w:r>
      <w:r>
        <w:rPr>
          <w:rFonts w:ascii="Times New Roman" w:cs="Times New Roman" w:hAnsi="Times New Roman"/>
          <w:sz w:val="24"/>
          <w:szCs w:val="24"/>
          <w:lang w:val="en-US"/>
        </w:rPr>
        <w:t> 25.1 (2020): 62-81.</w:t>
      </w:r>
    </w:p>
    <w:p w14:paraId="000000F4">
      <w:pPr>
        <w:pStyle w:val="ListParagraph"/>
        <w:numPr>
          <w:ilvl w:val="0"/>
          <w:numId w:val="16"/>
        </w:numPr>
        <w:rPr>
          <w:rFonts w:ascii="Times New Roman" w:cs="Times New Roman" w:hAnsi="Times New Roman"/>
          <w:sz w:val="24"/>
          <w:szCs w:val="24"/>
          <w:lang w:val="en-US"/>
        </w:rPr>
      </w:pPr>
      <w:r>
        <w:rPr>
          <w:rFonts w:ascii="Times New Roman" w:cs="Times New Roman" w:hAnsi="Times New Roman"/>
          <w:sz w:val="24"/>
          <w:szCs w:val="24"/>
          <w:lang w:val="en-US"/>
        </w:rPr>
        <w:t>Chandler</w:t>
      </w:r>
      <w:r>
        <w:rPr>
          <w:rFonts w:ascii="Times New Roman" w:cs="Times New Roman" w:hAnsi="Times New Roman"/>
          <w:i/>
          <w:iCs/>
          <w:sz w:val="24"/>
          <w:szCs w:val="24"/>
          <w:lang w:val="en-US"/>
        </w:rPr>
        <w:t xml:space="preserve"> </w:t>
      </w:r>
      <w:r>
        <w:rPr>
          <w:rFonts w:ascii="Times New Roman" w:cs="Times New Roman" w:hAnsi="Times New Roman"/>
          <w:sz w:val="24"/>
          <w:szCs w:val="24"/>
          <w:lang w:val="en-US"/>
        </w:rPr>
        <w:t xml:space="preserve">Daniel, </w:t>
      </w:r>
      <w:r>
        <w:rPr>
          <w:rFonts w:ascii="Times New Roman" w:cs="Times New Roman" w:hAnsi="Times New Roman"/>
          <w:i/>
          <w:iCs/>
          <w:sz w:val="24"/>
          <w:szCs w:val="24"/>
          <w:lang w:val="en-US"/>
        </w:rPr>
        <w:t>Semiotics for Beginners</w:t>
      </w:r>
      <w:r>
        <w:rPr>
          <w:rFonts w:ascii="Times New Roman" w:cs="Times New Roman" w:hAnsi="Times New Roman"/>
          <w:sz w:val="24"/>
          <w:szCs w:val="24"/>
          <w:lang w:val="en-US"/>
        </w:rPr>
        <w:t xml:space="preserve">  </w:t>
      </w:r>
      <w:r>
        <w:rPr>
          <w:rStyle w:val="Hyperlink"/>
          <w:rFonts w:ascii="Times New Roman" w:cs="Times New Roman" w:hAnsi="Times New Roman"/>
          <w:sz w:val="24"/>
          <w:szCs w:val="24"/>
          <w:lang w:val="en-US"/>
        </w:rPr>
        <w:fldChar w:fldCharType="begin"/>
      </w:r>
      <w:r>
        <w:rPr>
          <w:rStyle w:val="Hyperlink"/>
          <w:rFonts w:ascii="Times New Roman" w:cs="Times New Roman" w:hAnsi="Times New Roman"/>
          <w:sz w:val="24"/>
          <w:szCs w:val="24"/>
          <w:lang w:val="en-US"/>
        </w:rPr>
        <w:instrText xml:space="preserve">HYPERLINK "https://share.google/Md73S8LEmRIkvrPeB" </w:instrText>
      </w:r>
      <w:r>
        <w:rPr>
          <w:rStyle w:val="Hyperlink"/>
          <w:rFonts w:ascii="Times New Roman" w:cs="Times New Roman" w:hAnsi="Times New Roman"/>
          <w:sz w:val="24"/>
          <w:szCs w:val="24"/>
          <w:lang w:val="en-US"/>
        </w:rPr>
        <w:fldChar w:fldCharType="separate"/>
      </w:r>
      <w:r>
        <w:rPr>
          <w:rStyle w:val="Hyperlink"/>
          <w:rFonts w:ascii="Times New Roman" w:cs="Times New Roman" w:hAnsi="Times New Roman"/>
          <w:sz w:val="24"/>
          <w:szCs w:val="24"/>
          <w:lang w:val="en-US"/>
        </w:rPr>
        <w:t>https://share.google/Md73S8LEmRIkvrPeB</w:t>
      </w:r>
      <w:r>
        <w:rPr>
          <w:rFonts w:ascii="Times New Roman" w:cs="Times New Roman" w:hAnsi="Times New Roman"/>
          <w:sz w:val="24"/>
          <w:szCs w:val="24"/>
          <w:lang w:val="en-US"/>
        </w:rPr>
        <w:fldChar w:fldCharType="end"/>
      </w:r>
    </w:p>
    <w:p w14:paraId="000000F5">
      <w:pPr>
        <w:pStyle w:val="ListParagraph"/>
        <w:numPr>
          <w:ilvl w:val="0"/>
          <w:numId w:val="16"/>
        </w:numPr>
        <w:rPr>
          <w:rFonts w:ascii="Times New Roman" w:cs="Times New Roman" w:hAnsi="Times New Roman"/>
          <w:sz w:val="24"/>
          <w:szCs w:val="24"/>
          <w:lang w:val="en-US"/>
        </w:rPr>
      </w:pPr>
      <w:r>
        <w:rPr>
          <w:rFonts w:ascii="Times New Roman" w:cs="Times New Roman" w:hAnsi="Times New Roman"/>
          <w:sz w:val="24"/>
          <w:szCs w:val="24"/>
          <w:lang w:val="en-US"/>
        </w:rPr>
        <w:t>De Beaugrande, Robert-Alain, and Wolfgang U. Dressler. </w:t>
      </w:r>
      <w:r>
        <w:rPr>
          <w:rFonts w:ascii="Times New Roman" w:cs="Times New Roman" w:hAnsi="Times New Roman"/>
          <w:i/>
          <w:iCs/>
          <w:sz w:val="24"/>
          <w:szCs w:val="24"/>
          <w:lang w:val="en-US"/>
        </w:rPr>
        <w:t>Introduction to text linguistics</w:t>
      </w:r>
      <w:r>
        <w:rPr>
          <w:rFonts w:ascii="Times New Roman" w:cs="Times New Roman" w:hAnsi="Times New Roman"/>
          <w:sz w:val="24"/>
          <w:szCs w:val="24"/>
          <w:lang w:val="en-US"/>
        </w:rPr>
        <w:t xml:space="preserve">. Vol. 1. </w:t>
      </w:r>
      <w:r>
        <w:rPr>
          <w:rFonts w:ascii="Times New Roman" w:cs="Times New Roman" w:hAnsi="Times New Roman"/>
          <w:sz w:val="24"/>
          <w:szCs w:val="24"/>
        </w:rPr>
        <w:t xml:space="preserve">London: </w:t>
      </w:r>
      <w:r>
        <w:rPr>
          <w:rFonts w:ascii="Times New Roman" w:cs="Times New Roman" w:hAnsi="Times New Roman"/>
          <w:sz w:val="24"/>
          <w:szCs w:val="24"/>
        </w:rPr>
        <w:t>longman</w:t>
      </w:r>
      <w:r>
        <w:rPr>
          <w:rFonts w:ascii="Times New Roman" w:cs="Times New Roman" w:hAnsi="Times New Roman"/>
          <w:sz w:val="24"/>
          <w:szCs w:val="24"/>
        </w:rPr>
        <w:t>, 1981.</w:t>
      </w:r>
    </w:p>
    <w:p w14:paraId="000000F6">
      <w:pPr>
        <w:pStyle w:val="ListParagraph"/>
        <w:numPr>
          <w:ilvl w:val="0"/>
          <w:numId w:val="16"/>
        </w:numPr>
        <w:spacing w:after="0"/>
        <w:rPr>
          <w:rFonts w:ascii="Times New Roman" w:cs="Times New Roman" w:hAnsi="Times New Roman"/>
          <w:sz w:val="24"/>
          <w:szCs w:val="24"/>
          <w:lang w:val="en-US"/>
        </w:rPr>
      </w:pPr>
      <w:r>
        <w:rPr>
          <w:rFonts w:ascii="Times New Roman" w:cs="Times New Roman" w:hAnsi="Times New Roman"/>
          <w:sz w:val="24"/>
          <w:szCs w:val="24"/>
          <w:lang w:val="fr-FR"/>
        </w:rPr>
        <w:t xml:space="preserve">Derrida, Jacques. "Signature Event Context." </w:t>
      </w:r>
      <w:r>
        <w:rPr>
          <w:rFonts w:ascii="Times New Roman" w:cs="Times New Roman" w:hAnsi="Times New Roman"/>
          <w:sz w:val="24"/>
          <w:szCs w:val="24"/>
          <w:lang w:val="en-US"/>
        </w:rPr>
        <w:t>In Margins of Philosophy*, translated by Alan Bass, 307-330. Chicago: University of Chicago Press, 1982.</w:t>
      </w:r>
    </w:p>
    <w:p w14:paraId="000000F7">
      <w:pPr>
        <w:pStyle w:val="ListParagraph"/>
        <w:numPr>
          <w:ilvl w:val="0"/>
          <w:numId w:val="16"/>
        </w:numPr>
        <w:spacing w:after="0"/>
        <w:rPr>
          <w:rFonts w:ascii="Times New Roman" w:cs="Times New Roman" w:hAnsi="Times New Roman"/>
          <w:sz w:val="24"/>
          <w:szCs w:val="24"/>
          <w:lang w:val="en-US"/>
        </w:rPr>
      </w:pPr>
      <w:r>
        <w:rPr>
          <w:rFonts w:ascii="Times New Roman" w:cs="Times New Roman" w:hAnsi="Times New Roman"/>
          <w:sz w:val="24"/>
          <w:szCs w:val="24"/>
          <w:lang w:val="en-US"/>
        </w:rPr>
        <w:t>Farrell, Frank B. "Iterability and Meaning: The Searle-Derrida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Debate." </w:t>
      </w:r>
      <w:r>
        <w:rPr>
          <w:rFonts w:ascii="Times New Roman" w:cs="Times New Roman" w:hAnsi="Times New Roman"/>
          <w:i/>
          <w:iCs/>
          <w:sz w:val="24"/>
          <w:szCs w:val="24"/>
          <w:lang w:val="en-US"/>
        </w:rPr>
        <w:t>Metaphilosophy</w:t>
      </w:r>
      <w:r>
        <w:rPr>
          <w:rFonts w:ascii="Times New Roman" w:cs="Times New Roman" w:hAnsi="Times New Roman"/>
          <w:sz w:val="24"/>
          <w:szCs w:val="24"/>
          <w:lang w:val="en-US"/>
        </w:rPr>
        <w:t> 19.1 (1988): 53-64.</w:t>
      </w:r>
    </w:p>
    <w:p w14:paraId="000000F8">
      <w:pPr>
        <w:pStyle w:val="Footnotetext"/>
        <w:numPr>
          <w:ilvl w:val="0"/>
          <w:numId w:val="16"/>
        </w:numPr>
        <w:rPr>
          <w:rFonts w:ascii="Times New Roman" w:cs="Times New Roman" w:hAnsi="Times New Roman"/>
          <w:sz w:val="24"/>
          <w:szCs w:val="24"/>
          <w:lang w:val="fr-FR"/>
        </w:rPr>
      </w:pPr>
      <w:r>
        <w:rPr>
          <w:rStyle w:val="Hyperlink"/>
          <w:rFonts w:ascii="Times New Roman" w:cs="Times New Roman" w:hAnsi="Times New Roman"/>
          <w:b/>
          <w:bCs/>
          <w:sz w:val="24"/>
          <w:szCs w:val="24"/>
          <w:lang w:val="fr-FR"/>
        </w:rPr>
        <w:fldChar w:fldCharType="begin"/>
      </w:r>
      <w:r>
        <w:rPr>
          <w:rStyle w:val="Hyperlink"/>
          <w:rFonts w:ascii="Times New Roman" w:cs="Times New Roman" w:hAnsi="Times New Roman"/>
          <w:b/>
          <w:bCs/>
          <w:sz w:val="24"/>
          <w:szCs w:val="24"/>
          <w:lang w:val="fr-FR"/>
        </w:rPr>
        <w:instrText xml:space="preserve">HYPERLINK "http://www.persee.fr/authority/149" </w:instrText>
      </w:r>
      <w:r>
        <w:rPr>
          <w:rStyle w:val="Hyperlink"/>
          <w:rFonts w:ascii="Times New Roman" w:cs="Times New Roman" w:hAnsi="Times New Roman"/>
          <w:b/>
          <w:bCs/>
          <w:sz w:val="24"/>
          <w:szCs w:val="24"/>
          <w:lang w:val="fr-FR"/>
        </w:rPr>
        <w:fldChar w:fldCharType="separate"/>
      </w:r>
      <w:r>
        <w:rPr>
          <w:rStyle w:val="Hyperlink"/>
          <w:rFonts w:ascii="Times New Roman" w:cs="Times New Roman" w:hAnsi="Times New Roman"/>
          <w:b/>
          <w:bCs/>
          <w:sz w:val="24"/>
          <w:szCs w:val="24"/>
          <w:lang w:val="fr-FR"/>
        </w:rPr>
        <w:t>Greimas</w:t>
      </w:r>
      <w:r>
        <w:rPr>
          <w:rFonts w:ascii="Times New Roman" w:cs="Times New Roman" w:hAnsi="Times New Roman"/>
          <w:sz w:val="24"/>
          <w:szCs w:val="24"/>
          <w:lang w:val="fr-FR"/>
        </w:rPr>
        <w:t xml:space="preserve"> </w:t>
      </w:r>
      <w:r>
        <w:rPr>
          <w:rStyle w:val="Hyperlink"/>
          <w:rFonts w:ascii="Times New Roman" w:cs="Times New Roman" w:hAnsi="Times New Roman"/>
          <w:b/>
          <w:bCs/>
          <w:sz w:val="24"/>
          <w:szCs w:val="24"/>
          <w:lang w:val="fr-FR"/>
        </w:rPr>
        <w:t>A. J,</w:t>
      </w:r>
      <w:r>
        <w:rPr>
          <w:rFonts w:ascii="Times New Roman" w:cs="Times New Roman" w:hAnsi="Times New Roman"/>
          <w:sz w:val="24"/>
          <w:szCs w:val="24"/>
          <w:lang w:val="fr-FR"/>
        </w:rPr>
        <w:fldChar w:fldCharType="end"/>
      </w:r>
      <w:r>
        <w:rPr>
          <w:rFonts w:ascii="Times New Roman" w:cs="Times New Roman" w:hAnsi="Times New Roman"/>
          <w:sz w:val="24"/>
          <w:szCs w:val="24"/>
          <w:lang w:val="fr-FR"/>
        </w:rPr>
        <w:t xml:space="preserve"> </w:t>
      </w:r>
      <w:r>
        <w:rPr>
          <w:rStyle w:val="Hyperlink"/>
          <w:rFonts w:ascii="Times New Roman" w:cs="Times New Roman" w:hAnsi="Times New Roman"/>
          <w:sz w:val="24"/>
          <w:szCs w:val="24"/>
          <w:lang w:val="fr-FR"/>
        </w:rPr>
        <w:fldChar w:fldCharType="begin"/>
      </w:r>
      <w:r>
        <w:rPr>
          <w:rStyle w:val="Hyperlink"/>
          <w:rFonts w:ascii="Times New Roman" w:cs="Times New Roman" w:hAnsi="Times New Roman"/>
          <w:sz w:val="24"/>
          <w:szCs w:val="24"/>
          <w:lang w:val="fr-FR"/>
        </w:rPr>
        <w:instrText xml:space="preserve">HYPERLINK "http://www.persee.fr/collection/lgge" </w:instrText>
      </w:r>
      <w:r>
        <w:rPr>
          <w:rStyle w:val="Hyperlink"/>
          <w:rFonts w:ascii="Times New Roman" w:cs="Times New Roman" w:hAnsi="Times New Roman"/>
          <w:sz w:val="24"/>
          <w:szCs w:val="24"/>
          <w:lang w:val="fr-FR"/>
        </w:rPr>
        <w:fldChar w:fldCharType="separate"/>
      </w:r>
      <w:r>
        <w:rPr>
          <w:rStyle w:val="Hyperlink"/>
          <w:rFonts w:ascii="Times New Roman" w:cs="Times New Roman" w:hAnsi="Times New Roman"/>
          <w:sz w:val="24"/>
          <w:szCs w:val="24"/>
          <w:lang w:val="fr-FR"/>
        </w:rPr>
        <w:t>Langages</w:t>
      </w:r>
      <w:r>
        <w:rPr>
          <w:rFonts w:ascii="Times New Roman" w:cs="Times New Roman" w:hAnsi="Times New Roman"/>
          <w:sz w:val="24"/>
          <w:szCs w:val="24"/>
          <w:lang w:val="fr-FR"/>
        </w:rPr>
        <w:fldChar w:fldCharType="end"/>
      </w:r>
      <w:r>
        <w:rPr>
          <w:rFonts w:ascii="Times New Roman" w:cs="Times New Roman" w:hAnsi="Times New Roman"/>
          <w:sz w:val="24"/>
          <w:szCs w:val="24"/>
          <w:lang w:val="fr-FR"/>
        </w:rPr>
        <w:t xml:space="preserve"> Année 1976 </w:t>
      </w:r>
      <w:r>
        <w:rPr>
          <w:rStyle w:val="Hyperlink"/>
          <w:rFonts w:ascii="Times New Roman" w:cs="Times New Roman" w:hAnsi="Times New Roman"/>
          <w:sz w:val="24"/>
          <w:szCs w:val="24"/>
          <w:lang w:val="fr-FR"/>
        </w:rPr>
        <w:fldChar w:fldCharType="begin"/>
      </w:r>
      <w:r>
        <w:rPr>
          <w:rStyle w:val="Hyperlink"/>
          <w:rFonts w:ascii="Times New Roman" w:cs="Times New Roman" w:hAnsi="Times New Roman"/>
          <w:sz w:val="24"/>
          <w:szCs w:val="24"/>
          <w:lang w:val="fr-FR"/>
        </w:rPr>
        <w:instrText xml:space="preserve">HYPERLINK "http://www.persee.fr/issue/lgge_0458-726x_1976_num_10_43?sectionId=lgge_0458-726x_1976_num_10_43_2322"</w:instrText>
      </w:r>
      <w:r>
        <w:rPr>
          <w:rStyle w:val="Hyperlink"/>
          <w:rFonts w:ascii="Times New Roman" w:cs="Times New Roman" w:hAnsi="Times New Roman"/>
          <w:sz w:val="24"/>
          <w:szCs w:val="24"/>
          <w:lang w:val="fr-FR"/>
        </w:rPr>
        <w:fldChar w:fldCharType="separate"/>
      </w:r>
      <w:r>
        <w:rPr>
          <w:rStyle w:val="Hyperlink"/>
          <w:rFonts w:ascii="Times New Roman" w:cs="Times New Roman" w:hAnsi="Times New Roman"/>
          <w:sz w:val="24"/>
          <w:szCs w:val="24"/>
          <w:lang w:val="fr-FR"/>
        </w:rPr>
        <w:t>43</w:t>
      </w:r>
      <w:r>
        <w:rPr>
          <w:rFonts w:ascii="Times New Roman" w:cs="Times New Roman" w:hAnsi="Times New Roman"/>
          <w:sz w:val="24"/>
          <w:szCs w:val="24"/>
          <w:lang w:val="fr-FR"/>
        </w:rPr>
        <w:fldChar w:fldCharType="end"/>
      </w:r>
      <w:r>
        <w:rPr>
          <w:rFonts w:ascii="Times New Roman" w:cs="Times New Roman" w:hAnsi="Times New Roman"/>
          <w:sz w:val="24"/>
          <w:szCs w:val="24"/>
          <w:lang w:val="fr-FR"/>
        </w:rPr>
        <w:t xml:space="preserve"> pp. 90-101976_num_10_43_2322</w:t>
      </w:r>
      <w:r>
        <w:rPr>
          <w:rFonts w:ascii="Times New Roman" w:cs="Times New Roman" w:hAnsi="Times New Roman"/>
          <w:sz w:val="24"/>
          <w:szCs w:val="24"/>
          <w:lang w:val="fr-FR"/>
        </w:rPr>
        <w:t>7</w:t>
      </w:r>
      <w:r>
        <w:rPr>
          <w:rFonts w:ascii="Times New Roman" w:cs="Times New Roman" w:hAnsi="Times New Roman"/>
          <w:sz w:val="24"/>
          <w:szCs w:val="24"/>
          <w:lang w:val="fr-FR"/>
        </w:rPr>
        <w:t xml:space="preserve"> </w:t>
      </w:r>
      <w:r>
        <w:rPr>
          <w:rStyle w:val="Hyperlink"/>
          <w:rFonts w:ascii="Times New Roman" w:cs="Times New Roman" w:hAnsi="Times New Roman"/>
          <w:sz w:val="24"/>
          <w:szCs w:val="24"/>
          <w:lang w:val="fr-FR"/>
        </w:rPr>
        <w:fldChar w:fldCharType="begin"/>
      </w:r>
      <w:r>
        <w:rPr>
          <w:rStyle w:val="Hyperlink"/>
          <w:rFonts w:ascii="Times New Roman" w:cs="Times New Roman" w:hAnsi="Times New Roman"/>
          <w:sz w:val="24"/>
          <w:szCs w:val="24"/>
          <w:lang w:val="fr-FR"/>
        </w:rPr>
        <w:instrText xml:space="preserve">HYPERLINK "http://www.persee.fr/doc/lgge_0458-726x_" </w:instrText>
      </w:r>
      <w:r>
        <w:rPr>
          <w:rStyle w:val="Hyperlink"/>
          <w:rFonts w:ascii="Times New Roman" w:cs="Times New Roman" w:hAnsi="Times New Roman"/>
          <w:sz w:val="24"/>
          <w:szCs w:val="24"/>
          <w:lang w:val="fr-FR"/>
        </w:rPr>
        <w:fldChar w:fldCharType="separate"/>
      </w:r>
      <w:r>
        <w:rPr>
          <w:rStyle w:val="Hyperlink"/>
          <w:rFonts w:ascii="Times New Roman" w:cs="Times New Roman" w:hAnsi="Times New Roman"/>
          <w:sz w:val="24"/>
          <w:szCs w:val="24"/>
          <w:lang w:val="fr-FR"/>
        </w:rPr>
        <w:t>http://www.persee.fr/doc/lgge_0458-726x_</w:t>
      </w:r>
      <w:r>
        <w:rPr>
          <w:rFonts w:ascii="Times New Roman" w:cs="Times New Roman" w:hAnsi="Times New Roman"/>
          <w:sz w:val="24"/>
          <w:szCs w:val="24"/>
          <w:lang w:val="fr-FR"/>
        </w:rPr>
        <w:fldChar w:fldCharType="end"/>
      </w:r>
    </w:p>
    <w:p w14:paraId="000000F9">
      <w:pPr>
        <w:pStyle w:val="ListParagraph"/>
        <w:numPr>
          <w:ilvl w:val="0"/>
          <w:numId w:val="16"/>
        </w:numPr>
        <w:rPr>
          <w:rFonts w:ascii="Times New Roman" w:cs="Times New Roman" w:hAnsi="Times New Roman"/>
          <w:sz w:val="24"/>
          <w:szCs w:val="24"/>
          <w:lang w:val="en-US"/>
        </w:rPr>
      </w:pPr>
      <w:r>
        <w:rPr>
          <w:rFonts w:ascii="Times New Roman" w:cs="Times New Roman" w:hAnsi="Times New Roman"/>
          <w:sz w:val="24"/>
          <w:szCs w:val="24"/>
          <w:lang w:val="en-US"/>
        </w:rPr>
        <w:t>Kenaan, Hagi. "Language, philosophy and the risk of failure: rereading the debate between Searle and Derrida." </w:t>
      </w:r>
      <w:r>
        <w:rPr>
          <w:rFonts w:ascii="Times New Roman" w:cs="Times New Roman" w:hAnsi="Times New Roman"/>
          <w:i/>
          <w:iCs/>
          <w:sz w:val="24"/>
          <w:szCs w:val="24"/>
          <w:lang w:val="en-US"/>
        </w:rPr>
        <w:t>Continental Philosophy Review</w:t>
      </w:r>
      <w:r>
        <w:rPr>
          <w:rFonts w:ascii="Times New Roman" w:cs="Times New Roman" w:hAnsi="Times New Roman"/>
          <w:sz w:val="24"/>
          <w:szCs w:val="24"/>
          <w:lang w:val="en-US"/>
        </w:rPr>
        <w:t> 35.2 (2002): 117-133.</w:t>
      </w:r>
    </w:p>
    <w:p w14:paraId="000000FA">
      <w:pPr>
        <w:pStyle w:val="ListParagraph"/>
        <w:numPr>
          <w:ilvl w:val="0"/>
          <w:numId w:val="16"/>
        </w:numPr>
        <w:rPr>
          <w:rFonts w:ascii="Times New Roman" w:cs="Times New Roman" w:hAnsi="Times New Roman"/>
          <w:sz w:val="24"/>
          <w:szCs w:val="24"/>
          <w:lang w:val="en-US"/>
        </w:rPr>
      </w:pPr>
      <w:r>
        <w:rPr>
          <w:rFonts w:ascii="Times New Roman" w:cs="Times New Roman" w:hAnsi="Times New Roman"/>
          <w:sz w:val="24"/>
          <w:szCs w:val="24"/>
          <w:lang w:val="en-US"/>
        </w:rPr>
        <w:t>Moati</w:t>
      </w:r>
      <w:r>
        <w:rPr>
          <w:rFonts w:ascii="Times New Roman" w:cs="Times New Roman" w:hAnsi="Times New Roman"/>
          <w:sz w:val="24"/>
          <w:szCs w:val="24"/>
          <w:lang w:val="en-US"/>
        </w:rPr>
        <w:t>, Raoul. </w:t>
      </w:r>
      <w:r>
        <w:rPr>
          <w:rFonts w:ascii="Times New Roman" w:cs="Times New Roman" w:hAnsi="Times New Roman"/>
          <w:i/>
          <w:iCs/>
          <w:sz w:val="24"/>
          <w:szCs w:val="24"/>
          <w:lang w:val="en-US"/>
        </w:rPr>
        <w:t>Derrida/Searle: Deconstruction and ordinary language</w:t>
      </w:r>
      <w:r>
        <w:rPr>
          <w:rFonts w:ascii="Times New Roman" w:cs="Times New Roman" w:hAnsi="Times New Roman"/>
          <w:sz w:val="24"/>
          <w:szCs w:val="24"/>
          <w:lang w:val="en-US"/>
        </w:rPr>
        <w:t>. Columbia University Press, 2014.Deconstructive vs Pragmatic: A Critique of the Derrida–Searle Debate: The European Legacy: Vol 25, No1 </w:t>
      </w:r>
      <w:r>
        <w:rPr>
          <w:rStyle w:val="Hyperlink"/>
          <w:rFonts w:ascii="Times New Roman" w:cs="Times New Roman" w:hAnsi="Times New Roman"/>
          <w:sz w:val="24"/>
          <w:szCs w:val="24"/>
          <w:lang w:val="en-US"/>
        </w:rPr>
        <w:fldChar w:fldCharType="begin"/>
      </w:r>
      <w:r>
        <w:rPr>
          <w:rStyle w:val="Hyperlink"/>
          <w:rFonts w:ascii="Times New Roman" w:cs="Times New Roman" w:hAnsi="Times New Roman"/>
          <w:sz w:val="24"/>
          <w:szCs w:val="24"/>
          <w:lang w:val="en-US"/>
        </w:rPr>
        <w:instrText xml:space="preserve">HYPERLINK "https://share.google/sAUm4xK4ZxlRX42Tk" </w:instrText>
      </w:r>
      <w:r>
        <w:rPr>
          <w:rStyle w:val="Hyperlink"/>
          <w:rFonts w:ascii="Times New Roman" w:cs="Times New Roman" w:hAnsi="Times New Roman"/>
          <w:sz w:val="24"/>
          <w:szCs w:val="24"/>
          <w:lang w:val="en-US"/>
        </w:rPr>
        <w:fldChar w:fldCharType="separate"/>
      </w:r>
      <w:r>
        <w:rPr>
          <w:rStyle w:val="Hyperlink"/>
          <w:rFonts w:ascii="Times New Roman" w:cs="Times New Roman" w:hAnsi="Times New Roman"/>
          <w:sz w:val="24"/>
          <w:szCs w:val="24"/>
          <w:lang w:val="en-US"/>
        </w:rPr>
        <w:t>https://share.google/sAUm4xK4ZxlRX42Tk</w:t>
      </w:r>
      <w:r>
        <w:rPr>
          <w:rFonts w:ascii="Times New Roman" w:cs="Times New Roman" w:hAnsi="Times New Roman"/>
          <w:sz w:val="24"/>
          <w:szCs w:val="24"/>
          <w:lang w:val="en-US"/>
        </w:rPr>
        <w:fldChar w:fldCharType="end"/>
      </w:r>
    </w:p>
    <w:p w14:paraId="000000FB">
      <w:pPr>
        <w:pStyle w:val="ListParagraph"/>
        <w:numPr>
          <w:ilvl w:val="0"/>
          <w:numId w:val="16"/>
        </w:numPr>
        <w:rPr>
          <w:rFonts w:ascii="Times New Roman" w:cs="Times New Roman" w:hAnsi="Times New Roman"/>
          <w:sz w:val="24"/>
          <w:szCs w:val="24"/>
          <w:lang w:val="en-US"/>
        </w:rPr>
      </w:pPr>
      <w:r>
        <w:rPr>
          <w:rFonts w:ascii="Times New Roman" w:cs="Times New Roman" w:hAnsi="Times New Roman"/>
          <w:sz w:val="24"/>
          <w:szCs w:val="24"/>
          <w:lang w:val="en-US"/>
        </w:rPr>
        <w:t>Raffel, Stanley. "Understanding each other: The case of the Derrida-Searle</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debate." </w:t>
      </w:r>
      <w:r>
        <w:rPr>
          <w:rFonts w:ascii="Times New Roman" w:cs="Times New Roman" w:hAnsi="Times New Roman"/>
          <w:i/>
          <w:iCs/>
          <w:sz w:val="24"/>
          <w:szCs w:val="24"/>
          <w:lang w:val="en-US"/>
        </w:rPr>
        <w:t>Human studies</w:t>
      </w:r>
      <w:r>
        <w:rPr>
          <w:rFonts w:ascii="Times New Roman" w:cs="Times New Roman" w:hAnsi="Times New Roman"/>
          <w:sz w:val="24"/>
          <w:szCs w:val="24"/>
          <w:lang w:val="en-US"/>
        </w:rPr>
        <w:t> 34.3 (2011): 277-292.</w:t>
      </w:r>
    </w:p>
    <w:p w14:paraId="000000FC">
      <w:pPr>
        <w:pStyle w:val="ListParagraph"/>
        <w:numPr>
          <w:ilvl w:val="0"/>
          <w:numId w:val="16"/>
        </w:numPr>
        <w:rPr>
          <w:rFonts w:ascii="Times New Roman" w:cs="Times New Roman" w:hAnsi="Times New Roman"/>
          <w:sz w:val="24"/>
          <w:szCs w:val="24"/>
          <w:lang w:val="en-US"/>
        </w:rPr>
      </w:pPr>
      <w:r>
        <w:rPr>
          <w:rFonts w:ascii="Times New Roman" w:cs="Times New Roman" w:hAnsi="Times New Roman"/>
          <w:sz w:val="24"/>
          <w:szCs w:val="24"/>
          <w:lang w:val="en-US"/>
        </w:rPr>
        <w:t>Searle, J. R. "John Searle speech acts." (1969).</w:t>
      </w:r>
      <w:r>
        <w:rPr>
          <w:rFonts w:ascii="Times New Roman" w:cs="Times New Roman" w:hAnsi="Times New Roman"/>
          <w:color w:val="006621"/>
          <w:sz w:val="24"/>
          <w:szCs w:val="24"/>
          <w:shd w:val="clear" w:color="auto" w:fill="ffffff"/>
          <w:lang w:val="en-US"/>
        </w:rPr>
        <w:t xml:space="preserve"> </w:t>
      </w:r>
      <w:r>
        <w:rPr>
          <w:rFonts w:ascii="Times New Roman" w:cs="Times New Roman" w:hAnsi="Times New Roman"/>
          <w:sz w:val="24"/>
          <w:szCs w:val="24"/>
          <w:lang w:val="en-US"/>
        </w:rPr>
        <w:t>JR </w:t>
      </w:r>
      <w:r>
        <w:rPr>
          <w:rFonts w:ascii="Times New Roman" w:cs="Times New Roman" w:hAnsi="Times New Roman"/>
          <w:b/>
          <w:bCs/>
          <w:sz w:val="24"/>
          <w:szCs w:val="24"/>
          <w:lang w:val="en-US"/>
        </w:rPr>
        <w:t>Searle</w:t>
      </w:r>
      <w:r>
        <w:rPr>
          <w:rFonts w:ascii="Times New Roman" w:cs="Times New Roman" w:hAnsi="Times New Roman"/>
          <w:sz w:val="24"/>
          <w:szCs w:val="24"/>
          <w:lang w:val="en-US"/>
        </w:rPr>
        <w:t> - </w:t>
      </w:r>
      <w:r>
        <w:rPr>
          <w:rFonts w:ascii="Times New Roman" w:cs="Times New Roman" w:hAnsi="Times New Roman"/>
          <w:b/>
          <w:bCs/>
          <w:sz w:val="24"/>
          <w:szCs w:val="24"/>
          <w:lang w:val="en-US"/>
        </w:rPr>
        <w:t>1969</w:t>
      </w:r>
      <w:r>
        <w:rPr>
          <w:rFonts w:ascii="Times New Roman" w:cs="Times New Roman" w:hAnsi="Times New Roman"/>
          <w:sz w:val="24"/>
          <w:szCs w:val="24"/>
          <w:lang w:val="en-US"/>
        </w:rPr>
        <w:t> - Cambridge University Press</w:t>
      </w:r>
      <w:r>
        <w:rPr>
          <w:rFonts w:ascii="Times New Roman" w:cs="Times New Roman" w:hAnsi="Times New Roman"/>
          <w:sz w:val="24"/>
          <w:szCs w:val="24"/>
          <w:lang w:val="en-US"/>
        </w:rPr>
        <w:t>.</w:t>
      </w:r>
    </w:p>
    <w:p w14:paraId="000000FD">
      <w:pPr>
        <w:pStyle w:val="ListParagraph"/>
        <w:numPr>
          <w:ilvl w:val="0"/>
          <w:numId w:val="16"/>
        </w:numPr>
        <w:rPr>
          <w:rFonts w:ascii="Times New Roman" w:cs="Times New Roman" w:hAnsi="Times New Roman"/>
          <w:sz w:val="24"/>
          <w:szCs w:val="24"/>
          <w:lang w:val="en-US"/>
        </w:rPr>
      </w:pPr>
      <w:r>
        <w:rPr>
          <w:rFonts w:ascii="Times New Roman" w:cs="Times New Roman" w:hAnsi="Times New Roman"/>
          <w:sz w:val="24"/>
          <w:szCs w:val="24"/>
          <w:lang w:val="en-US"/>
        </w:rPr>
        <w:t>Searle, John. "Reiterating the differences: A reply to Jacques Derrida." (1977).</w:t>
      </w:r>
    </w:p>
    <w:p w14:paraId="000000FE">
      <w:pPr>
        <w:pStyle w:val="ListParagraph"/>
        <w:numPr>
          <w:ilvl w:val="0"/>
          <w:numId w:val="16"/>
        </w:numPr>
        <w:spacing w:after="0" w:line="240" w:lineRule="auto"/>
        <w:jc w:val="both"/>
        <w:rPr>
          <w:rFonts w:ascii="Times New Roman" w:cs="Times New Roman" w:hAnsi="Times New Roman"/>
          <w:sz w:val="24"/>
          <w:szCs w:val="24"/>
          <w:lang w:val="en-US"/>
        </w:rPr>
      </w:pPr>
      <w:r>
        <w:rPr>
          <w:rFonts w:ascii="Times New Roman" w:cs="Times New Roman" w:hAnsi="Times New Roman"/>
          <w:sz w:val="24"/>
          <w:szCs w:val="24"/>
          <w:lang w:val="en-US"/>
        </w:rPr>
        <w:t>Shakespeare</w:t>
      </w:r>
      <w:r>
        <w:rPr>
          <w:rFonts w:ascii="Times New Roman" w:cs="Times New Roman" w:hAnsi="Times New Roman"/>
          <w:sz w:val="24"/>
          <w:szCs w:val="24"/>
        </w:rPr>
        <w:t xml:space="preserve"> </w:t>
      </w:r>
      <w:r>
        <w:rPr>
          <w:rFonts w:ascii="Times New Roman" w:cs="Times New Roman" w:hAnsi="Times New Roman"/>
          <w:sz w:val="24"/>
          <w:szCs w:val="24"/>
          <w:lang w:val="en-US"/>
        </w:rPr>
        <w:t>William</w:t>
      </w:r>
      <w:r>
        <w:rPr>
          <w:rFonts w:ascii="Times New Roman" w:cs="Times New Roman" w:hAnsi="Times New Roman"/>
          <w:sz w:val="24"/>
          <w:szCs w:val="24"/>
        </w:rPr>
        <w:t xml:space="preserve">: </w:t>
      </w:r>
      <w:r>
        <w:rPr>
          <w:rFonts w:ascii="Times New Roman" w:cs="Times New Roman" w:hAnsi="Times New Roman"/>
          <w:sz w:val="24"/>
          <w:szCs w:val="24"/>
          <w:lang w:val="en-US"/>
        </w:rPr>
        <w:t>Sonnets</w:t>
      </w:r>
      <w:r>
        <w:rPr>
          <w:rFonts w:ascii="Times New Roman" w:cs="Times New Roman" w:hAnsi="Times New Roman"/>
          <w:sz w:val="24"/>
          <w:szCs w:val="24"/>
        </w:rPr>
        <w:t xml:space="preserve">, </w:t>
      </w:r>
      <w:r>
        <w:rPr>
          <w:rFonts w:ascii="Times New Roman" w:cs="Times New Roman" w:hAnsi="Times New Roman"/>
          <w:sz w:val="24"/>
          <w:szCs w:val="24"/>
        </w:rPr>
        <w:t>С</w:t>
      </w:r>
      <w:r>
        <w:rPr>
          <w:rFonts w:ascii="Times New Roman" w:cs="Times New Roman" w:hAnsi="Times New Roman"/>
          <w:sz w:val="24"/>
          <w:szCs w:val="24"/>
        </w:rPr>
        <w:t xml:space="preserve">. 144 </w:t>
      </w:r>
      <w:r>
        <w:rPr>
          <w:rFonts w:ascii="Times New Roman" w:cs="Times New Roman" w:hAnsi="Times New Roman"/>
          <w:sz w:val="24"/>
          <w:szCs w:val="24"/>
        </w:rPr>
        <w:t>Шекспир</w:t>
      </w:r>
      <w:r>
        <w:rPr>
          <w:rFonts w:ascii="Times New Roman" w:cs="Times New Roman" w:hAnsi="Times New Roman"/>
          <w:sz w:val="24"/>
          <w:szCs w:val="24"/>
        </w:rPr>
        <w:t xml:space="preserve">: </w:t>
      </w:r>
      <w:r>
        <w:rPr>
          <w:rFonts w:ascii="Times New Roman" w:cs="Times New Roman" w:hAnsi="Times New Roman"/>
          <w:sz w:val="24"/>
          <w:szCs w:val="24"/>
        </w:rPr>
        <w:t>собрание</w:t>
      </w:r>
      <w:r>
        <w:rPr>
          <w:rFonts w:ascii="Times New Roman" w:cs="Times New Roman" w:hAnsi="Times New Roman"/>
          <w:sz w:val="24"/>
          <w:szCs w:val="24"/>
        </w:rPr>
        <w:t xml:space="preserve"> </w:t>
      </w:r>
      <w:r>
        <w:rPr>
          <w:rFonts w:ascii="Times New Roman" w:cs="Times New Roman" w:hAnsi="Times New Roman"/>
          <w:sz w:val="24"/>
          <w:szCs w:val="24"/>
        </w:rPr>
        <w:t>сочинений</w:t>
      </w:r>
      <w:r>
        <w:rPr>
          <w:rFonts w:ascii="Times New Roman" w:cs="Times New Roman" w:hAnsi="Times New Roman"/>
          <w:sz w:val="24"/>
          <w:szCs w:val="24"/>
        </w:rPr>
        <w:t xml:space="preserve">, </w:t>
      </w:r>
      <w:r>
        <w:rPr>
          <w:rFonts w:ascii="Times New Roman" w:cs="Times New Roman" w:hAnsi="Times New Roman"/>
          <w:sz w:val="24"/>
          <w:szCs w:val="24"/>
        </w:rPr>
        <w:t>С</w:t>
      </w:r>
      <w:r>
        <w:rPr>
          <w:rFonts w:ascii="Times New Roman" w:cs="Times New Roman" w:hAnsi="Times New Roman"/>
          <w:sz w:val="24"/>
          <w:szCs w:val="24"/>
        </w:rPr>
        <w:t>. 15554 (</w:t>
      </w:r>
      <w:r>
        <w:rPr>
          <w:rFonts w:ascii="Times New Roman" w:cs="Times New Roman" w:hAnsi="Times New Roman"/>
          <w:sz w:val="24"/>
          <w:szCs w:val="24"/>
        </w:rPr>
        <w:t>ср</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lang w:val="en-US"/>
        </w:rPr>
        <w:t xml:space="preserve">Shakespeare-Riverside, </w:t>
      </w:r>
      <w:r>
        <w:rPr>
          <w:rFonts w:ascii="Times New Roman" w:cs="Times New Roman" w:hAnsi="Times New Roman"/>
          <w:sz w:val="24"/>
          <w:szCs w:val="24"/>
        </w:rPr>
        <w:t>С</w:t>
      </w:r>
      <w:r>
        <w:rPr>
          <w:rFonts w:ascii="Times New Roman" w:cs="Times New Roman" w:hAnsi="Times New Roman"/>
          <w:sz w:val="24"/>
          <w:szCs w:val="24"/>
          <w:lang w:val="en-US"/>
        </w:rPr>
        <w:t>. 1775)</w:t>
      </w:r>
      <w:r>
        <w:rPr>
          <w:rFonts w:ascii="Times New Roman" w:cs="Times New Roman" w:hAnsi="Times New Roman"/>
          <w:sz w:val="24"/>
          <w:szCs w:val="24"/>
          <w:lang w:val="en-US"/>
        </w:rPr>
        <w:t>.</w:t>
      </w:r>
    </w:p>
    <w:p w14:paraId="000000FF">
      <w:pPr>
        <w:pStyle w:val="Footnotetext"/>
        <w:numPr>
          <w:ilvl w:val="0"/>
          <w:numId w:val="16"/>
        </w:numPr>
        <w:rPr>
          <w:rFonts w:ascii="Times New Roman" w:cs="Times New Roman" w:hAnsi="Times New Roman"/>
          <w:sz w:val="24"/>
          <w:szCs w:val="24"/>
          <w:lang w:val="en-US"/>
        </w:rPr>
      </w:pPr>
      <w:r>
        <w:rPr>
          <w:rFonts w:ascii="Times New Roman" w:cs="Times New Roman" w:hAnsi="Times New Roman"/>
          <w:sz w:val="24"/>
          <w:szCs w:val="24"/>
          <w:lang w:val="en-US"/>
        </w:rPr>
        <w:t xml:space="preserve">Vaswani, Ashish, et al. </w:t>
      </w:r>
      <w:r>
        <w:rPr>
          <w:rFonts w:ascii="Times New Roman" w:cs="Times New Roman" w:hAnsi="Times New Roman"/>
          <w:sz w:val="24"/>
          <w:szCs w:val="24"/>
          <w:lang w:val="en-US"/>
        </w:rPr>
        <w:t>"Attention is all you need."</w:t>
      </w:r>
      <w:r>
        <w:rPr>
          <w:rFonts w:ascii="Times New Roman" w:cs="Times New Roman" w:hAnsi="Times New Roman"/>
          <w:sz w:val="24"/>
          <w:szCs w:val="24"/>
          <w:lang w:val="en-US"/>
        </w:rPr>
        <w:t> </w:t>
      </w:r>
      <w:r>
        <w:rPr>
          <w:rFonts w:ascii="Times New Roman" w:cs="Times New Roman" w:hAnsi="Times New Roman"/>
          <w:i/>
          <w:iCs/>
          <w:sz w:val="24"/>
          <w:szCs w:val="24"/>
          <w:lang w:val="en-US"/>
        </w:rPr>
        <w:t>Advances in neural information processing systems</w:t>
      </w:r>
      <w:r>
        <w:rPr>
          <w:rFonts w:ascii="Times New Roman" w:cs="Times New Roman" w:hAnsi="Times New Roman"/>
          <w:sz w:val="24"/>
          <w:szCs w:val="24"/>
          <w:lang w:val="en-US"/>
        </w:rPr>
        <w:t> 30 (2017).</w:t>
      </w:r>
    </w:p>
    <w:p w14:paraId="00000100">
      <w:pPr>
        <w:spacing w:line="360" w:lineRule="auto"/>
        <w:jc w:val="both"/>
        <w:rPr>
          <w:rFonts w:ascii="Times New Roman" w:cs="Times New Roman" w:hAnsi="Times New Roman"/>
          <w:sz w:val="24"/>
          <w:szCs w:val="24"/>
          <w:lang w:val="en-US"/>
        </w:rPr>
      </w:pPr>
    </w:p>
    <w:p w14:paraId="00000101">
      <w:pPr>
        <w:spacing w:line="360" w:lineRule="auto"/>
        <w:jc w:val="both"/>
        <w:rPr>
          <w:rFonts w:ascii="Times New Roman" w:cs="Times New Roman" w:hAnsi="Times New Roman"/>
          <w:sz w:val="28"/>
          <w:szCs w:val="28"/>
          <w:lang w:val="en-US"/>
        </w:rPr>
      </w:pPr>
      <w:r>
        <w:rPr>
          <w:rFonts w:ascii="Times New Roman" w:cs="Times New Roman" w:hAnsi="Times New Roman"/>
          <w:sz w:val="28"/>
          <w:szCs w:val="28"/>
          <w:lang w:val="en-US"/>
        </w:rPr>
        <w:t>REFERENCES</w:t>
      </w:r>
    </w:p>
    <w:p w14:paraId="00000102">
      <w:pPr>
        <w:pStyle w:val="ListParagraph"/>
        <w:numPr>
          <w:ilvl w:val="0"/>
          <w:numId w:val="17"/>
        </w:numPr>
        <w:rPr>
          <w:rFonts w:ascii="Times New Roman" w:cs="Times New Roman" w:hAnsi="Times New Roman"/>
          <w:sz w:val="24"/>
          <w:szCs w:val="24"/>
        </w:rPr>
      </w:pPr>
      <w:r>
        <w:rPr>
          <w:rFonts w:ascii="Times New Roman" w:cs="Times New Roman" w:hAnsi="Times New Roman"/>
          <w:sz w:val="24"/>
          <w:szCs w:val="24"/>
          <w:lang w:val="en-US"/>
        </w:rPr>
        <w:t>Alfino, Mark. "Another look at the Derrida-Searle debate." </w:t>
      </w:r>
      <w:r>
        <w:rPr>
          <w:rFonts w:ascii="Times New Roman" w:cs="Times New Roman" w:hAnsi="Times New Roman"/>
          <w:i/>
          <w:iCs/>
          <w:sz w:val="24"/>
          <w:szCs w:val="24"/>
          <w:lang w:val="en-US"/>
        </w:rPr>
        <w:t>Philosophy &amp;</w:t>
      </w:r>
      <w:r>
        <w:rPr>
          <w:rFonts w:ascii="Times New Roman" w:cs="Times New Roman" w:hAnsi="Times New Roman"/>
          <w:i/>
          <w:iCs/>
          <w:sz w:val="24"/>
          <w:szCs w:val="24"/>
        </w:rPr>
        <w:t xml:space="preserve"> </w:t>
      </w:r>
      <w:r>
        <w:rPr>
          <w:rFonts w:ascii="Times New Roman" w:cs="Times New Roman" w:hAnsi="Times New Roman"/>
          <w:i/>
          <w:iCs/>
          <w:sz w:val="24"/>
          <w:szCs w:val="24"/>
          <w:lang w:val="en-US"/>
        </w:rPr>
        <w:t>Rhetoric</w:t>
      </w:r>
      <w:r>
        <w:rPr>
          <w:rFonts w:ascii="Times New Roman" w:cs="Times New Roman" w:hAnsi="Times New Roman"/>
          <w:sz w:val="24"/>
          <w:szCs w:val="24"/>
          <w:lang w:val="en-US"/>
        </w:rPr>
        <w:t xml:space="preserve"> (1991): 143-152. </w:t>
      </w:r>
    </w:p>
    <w:p w14:paraId="00000103">
      <w:pPr>
        <w:pStyle w:val="ListParagraph"/>
        <w:numPr>
          <w:ilvl w:val="0"/>
          <w:numId w:val="17"/>
        </w:numPr>
        <w:rPr>
          <w:rFonts w:ascii="Times New Roman" w:cs="Times New Roman" w:hAnsi="Times New Roman"/>
          <w:sz w:val="24"/>
          <w:szCs w:val="24"/>
          <w:lang w:val="en-US"/>
        </w:rPr>
      </w:pPr>
      <w:r>
        <w:rPr>
          <w:rFonts w:ascii="Times New Roman" w:cs="Times New Roman" w:hAnsi="Times New Roman"/>
          <w:sz w:val="24"/>
          <w:szCs w:val="24"/>
          <w:lang w:val="en-US"/>
        </w:rPr>
        <w:t>Austin, John Langshaw. </w:t>
      </w:r>
      <w:r>
        <w:rPr>
          <w:rFonts w:ascii="Times New Roman" w:cs="Times New Roman" w:hAnsi="Times New Roman"/>
          <w:i/>
          <w:iCs/>
          <w:sz w:val="24"/>
          <w:szCs w:val="24"/>
          <w:lang w:val="en-US"/>
        </w:rPr>
        <w:t>How to do things with words</w:t>
      </w:r>
      <w:r>
        <w:rPr>
          <w:rFonts w:ascii="Times New Roman" w:cs="Times New Roman" w:hAnsi="Times New Roman"/>
          <w:sz w:val="24"/>
          <w:szCs w:val="24"/>
          <w:lang w:val="en-US"/>
        </w:rPr>
        <w:t>. Harvard university press, 1975.</w:t>
      </w:r>
    </w:p>
    <w:p w14:paraId="00000104">
      <w:pPr>
        <w:pStyle w:val="ListParagraph"/>
        <w:numPr>
          <w:ilvl w:val="0"/>
          <w:numId w:val="17"/>
        </w:numPr>
        <w:rPr>
          <w:rFonts w:ascii="Times New Roman" w:cs="Times New Roman" w:hAnsi="Times New Roman"/>
          <w:sz w:val="24"/>
          <w:szCs w:val="24"/>
        </w:rPr>
      </w:pPr>
      <w:r>
        <w:rPr>
          <w:rFonts w:ascii="Times New Roman" w:cs="Times New Roman" w:hAnsi="Times New Roman"/>
          <w:sz w:val="24"/>
          <w:szCs w:val="24"/>
          <w:lang w:val="en-US"/>
        </w:rPr>
        <w:t>Bass, Alan. "‘Signature Event Context’: Margins of Philosophy (Derrida 1982 [First Published 1972])." </w:t>
      </w:r>
      <w:r>
        <w:rPr>
          <w:rFonts w:ascii="Times New Roman" w:cs="Times New Roman" w:hAnsi="Times New Roman"/>
          <w:i/>
          <w:iCs/>
          <w:sz w:val="24"/>
          <w:szCs w:val="24"/>
          <w:lang w:val="en-US"/>
        </w:rPr>
        <w:t>Jacques Derrida: Basic Writings</w:t>
      </w:r>
      <w:r>
        <w:rPr>
          <w:rFonts w:ascii="Times New Roman" w:cs="Times New Roman" w:hAnsi="Times New Roman"/>
          <w:sz w:val="24"/>
          <w:szCs w:val="24"/>
          <w:lang w:val="en-US"/>
        </w:rPr>
        <w:t>. Routledge, 2020. 105-134.</w:t>
      </w:r>
    </w:p>
    <w:p w14:paraId="00000105">
      <w:pPr>
        <w:pStyle w:val="ListParagraph"/>
        <w:numPr>
          <w:ilvl w:val="0"/>
          <w:numId w:val="17"/>
        </w:numPr>
        <w:rPr>
          <w:rFonts w:ascii="Times New Roman" w:cs="Times New Roman" w:hAnsi="Times New Roman"/>
          <w:sz w:val="24"/>
          <w:szCs w:val="24"/>
        </w:rPr>
      </w:pPr>
      <w:r>
        <w:rPr>
          <w:rFonts w:ascii="Times New Roman" w:cs="Times New Roman" w:hAnsi="Times New Roman"/>
          <w:sz w:val="24"/>
          <w:szCs w:val="24"/>
          <w:lang w:val="en-US"/>
        </w:rPr>
        <w:t>Beloz</w:t>
      </w:r>
      <w:r>
        <w:rPr>
          <w:rFonts w:ascii="Times New Roman" w:cs="Times New Roman" w:hAnsi="Times New Roman"/>
          <w:sz w:val="24"/>
          <w:szCs w:val="24"/>
        </w:rPr>
        <w:t>е</w:t>
      </w:r>
      <w:r>
        <w:rPr>
          <w:rFonts w:ascii="Times New Roman" w:cs="Times New Roman" w:hAnsi="Times New Roman"/>
          <w:sz w:val="24"/>
          <w:szCs w:val="24"/>
          <w:lang w:val="en-US"/>
        </w:rPr>
        <w:t>rova</w:t>
      </w:r>
      <w:r>
        <w:rPr>
          <w:rFonts w:ascii="Times New Roman" w:cs="Times New Roman" w:hAnsi="Times New Roman"/>
          <w:sz w:val="24"/>
          <w:szCs w:val="24"/>
          <w:lang w:val="en-US"/>
        </w:rPr>
        <w:t xml:space="preserve">, N. N. Mir </w:t>
      </w:r>
      <w:r>
        <w:rPr>
          <w:rFonts w:ascii="Times New Roman" w:cs="Times New Roman" w:hAnsi="Times New Roman"/>
          <w:sz w:val="24"/>
          <w:szCs w:val="24"/>
          <w:lang w:val="en-US"/>
        </w:rPr>
        <w:t>real'nyy</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i</w:t>
      </w:r>
      <w:r>
        <w:rPr>
          <w:rFonts w:ascii="Times New Roman" w:cs="Times New Roman" w:hAnsi="Times New Roman"/>
          <w:sz w:val="24"/>
          <w:szCs w:val="24"/>
          <w:lang w:val="en-US"/>
        </w:rPr>
        <w:t xml:space="preserve"> mir </w:t>
      </w:r>
      <w:r>
        <w:rPr>
          <w:rFonts w:ascii="Times New Roman" w:cs="Times New Roman" w:hAnsi="Times New Roman"/>
          <w:sz w:val="24"/>
          <w:szCs w:val="24"/>
          <w:lang w:val="en-US"/>
        </w:rPr>
        <w:t>virtual'nyy</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dve</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ekologicheskiye</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sistemy</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Izdatel'stvo</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Tyumenskogo</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gosudarstvennogo</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universiteta</w:t>
      </w:r>
      <w:r>
        <w:rPr>
          <w:rFonts w:ascii="Times New Roman" w:cs="Times New Roman" w:hAnsi="Times New Roman"/>
          <w:sz w:val="24"/>
          <w:szCs w:val="24"/>
          <w:lang w:val="en-US"/>
        </w:rPr>
        <w:t>, 2010.]</w:t>
      </w:r>
      <w:r>
        <w:rPr>
          <w:rFonts w:ascii="Times New Roman" w:cs="Times New Roman" w:hAnsi="Times New Roman"/>
          <w:sz w:val="24"/>
          <w:szCs w:val="24"/>
        </w:rPr>
        <w:t>.</w:t>
      </w:r>
    </w:p>
    <w:p w14:paraId="00000106">
      <w:pPr>
        <w:pStyle w:val="ListParagraph"/>
        <w:numPr>
          <w:ilvl w:val="0"/>
          <w:numId w:val="17"/>
        </w:numPr>
        <w:rPr>
          <w:rFonts w:ascii="Times New Roman" w:cs="Times New Roman" w:hAnsi="Times New Roman"/>
          <w:sz w:val="24"/>
          <w:szCs w:val="24"/>
          <w:lang w:val="en-US"/>
        </w:rPr>
      </w:pPr>
      <w:r>
        <w:rPr>
          <w:rFonts w:ascii="Times New Roman" w:cs="Times New Roman" w:hAnsi="Times New Roman"/>
          <w:sz w:val="24"/>
          <w:szCs w:val="24"/>
          <w:lang w:val="en-US"/>
        </w:rPr>
        <w:t>Bornedal, Peter. "Deconstructive vs Pragmatic: A Critique of the Derrida–Searle Debate." </w:t>
      </w:r>
      <w:r>
        <w:rPr>
          <w:rFonts w:ascii="Times New Roman" w:cs="Times New Roman" w:hAnsi="Times New Roman"/>
          <w:i/>
          <w:iCs/>
          <w:sz w:val="24"/>
          <w:szCs w:val="24"/>
          <w:lang w:val="en-US"/>
        </w:rPr>
        <w:t>The European Legacy</w:t>
      </w:r>
      <w:r>
        <w:rPr>
          <w:rFonts w:ascii="Times New Roman" w:cs="Times New Roman" w:hAnsi="Times New Roman"/>
          <w:sz w:val="24"/>
          <w:szCs w:val="24"/>
          <w:lang w:val="en-US"/>
        </w:rPr>
        <w:t> 25.1 (2020): 62-81.</w:t>
      </w:r>
    </w:p>
    <w:p w14:paraId="00000107">
      <w:pPr>
        <w:pStyle w:val="ListParagraph"/>
        <w:numPr>
          <w:ilvl w:val="0"/>
          <w:numId w:val="17"/>
        </w:numPr>
        <w:rPr>
          <w:rFonts w:ascii="Times New Roman" w:cs="Times New Roman" w:hAnsi="Times New Roman"/>
          <w:sz w:val="24"/>
          <w:szCs w:val="24"/>
          <w:lang w:val="en-US"/>
        </w:rPr>
      </w:pPr>
      <w:r>
        <w:rPr>
          <w:rFonts w:ascii="Times New Roman" w:cs="Times New Roman" w:hAnsi="Times New Roman"/>
          <w:sz w:val="24"/>
          <w:szCs w:val="24"/>
          <w:lang w:val="en-US"/>
        </w:rPr>
        <w:t>Chandler</w:t>
      </w:r>
      <w:r>
        <w:rPr>
          <w:rFonts w:ascii="Times New Roman" w:cs="Times New Roman" w:hAnsi="Times New Roman"/>
          <w:i/>
          <w:iCs/>
          <w:sz w:val="24"/>
          <w:szCs w:val="24"/>
          <w:lang w:val="en-US"/>
        </w:rPr>
        <w:t xml:space="preserve"> </w:t>
      </w:r>
      <w:r>
        <w:rPr>
          <w:rFonts w:ascii="Times New Roman" w:cs="Times New Roman" w:hAnsi="Times New Roman"/>
          <w:sz w:val="24"/>
          <w:szCs w:val="24"/>
          <w:lang w:val="en-US"/>
        </w:rPr>
        <w:t xml:space="preserve">Daniel, </w:t>
      </w:r>
      <w:r>
        <w:rPr>
          <w:rFonts w:ascii="Times New Roman" w:cs="Times New Roman" w:hAnsi="Times New Roman"/>
          <w:i/>
          <w:iCs/>
          <w:sz w:val="24"/>
          <w:szCs w:val="24"/>
          <w:lang w:val="en-US"/>
        </w:rPr>
        <w:t>Semiotics for Beginners</w:t>
      </w:r>
      <w:r>
        <w:rPr>
          <w:rFonts w:ascii="Times New Roman" w:cs="Times New Roman" w:hAnsi="Times New Roman"/>
          <w:sz w:val="24"/>
          <w:szCs w:val="24"/>
          <w:lang w:val="en-US"/>
        </w:rPr>
        <w:t xml:space="preserve">  </w:t>
      </w:r>
      <w:r>
        <w:rPr>
          <w:rStyle w:val="Hyperlink"/>
          <w:rFonts w:ascii="Times New Roman" w:cs="Times New Roman" w:hAnsi="Times New Roman"/>
          <w:sz w:val="24"/>
          <w:szCs w:val="24"/>
          <w:lang w:val="en-US"/>
        </w:rPr>
        <w:fldChar w:fldCharType="begin"/>
      </w:r>
      <w:r>
        <w:rPr>
          <w:rStyle w:val="Hyperlink"/>
          <w:rFonts w:ascii="Times New Roman" w:cs="Times New Roman" w:hAnsi="Times New Roman"/>
          <w:sz w:val="24"/>
          <w:szCs w:val="24"/>
          <w:lang w:val="en-US"/>
        </w:rPr>
        <w:instrText xml:space="preserve">HYPERLINK "https://share.google/Md73S8LEmRIkvrPeB" </w:instrText>
      </w:r>
      <w:r>
        <w:rPr>
          <w:rStyle w:val="Hyperlink"/>
          <w:rFonts w:ascii="Times New Roman" w:cs="Times New Roman" w:hAnsi="Times New Roman"/>
          <w:sz w:val="24"/>
          <w:szCs w:val="24"/>
          <w:lang w:val="en-US"/>
        </w:rPr>
        <w:fldChar w:fldCharType="separate"/>
      </w:r>
      <w:r>
        <w:rPr>
          <w:rStyle w:val="Hyperlink"/>
          <w:rFonts w:ascii="Times New Roman" w:cs="Times New Roman" w:hAnsi="Times New Roman"/>
          <w:sz w:val="24"/>
          <w:szCs w:val="24"/>
          <w:lang w:val="en-US"/>
        </w:rPr>
        <w:t>https://share.google/Md73S8LEmRIkvrPeB</w:t>
      </w:r>
      <w:r>
        <w:rPr>
          <w:rFonts w:ascii="Times New Roman" w:cs="Times New Roman" w:hAnsi="Times New Roman"/>
          <w:sz w:val="24"/>
          <w:szCs w:val="24"/>
          <w:lang w:val="en-US"/>
        </w:rPr>
        <w:fldChar w:fldCharType="end"/>
      </w:r>
    </w:p>
    <w:p w14:paraId="00000108">
      <w:pPr>
        <w:pStyle w:val="ListParagraph"/>
        <w:numPr>
          <w:ilvl w:val="0"/>
          <w:numId w:val="17"/>
        </w:numPr>
        <w:rPr>
          <w:rFonts w:ascii="Times New Roman" w:cs="Times New Roman" w:hAnsi="Times New Roman"/>
          <w:sz w:val="24"/>
          <w:szCs w:val="24"/>
        </w:rPr>
      </w:pPr>
      <w:r>
        <w:rPr>
          <w:rFonts w:ascii="Times New Roman" w:cs="Times New Roman" w:hAnsi="Times New Roman"/>
          <w:sz w:val="24"/>
          <w:szCs w:val="24"/>
          <w:lang w:val="en-US"/>
        </w:rPr>
        <w:t>De Beaugrande, Robert-Alain, and Wolfgang U. Dressler. </w:t>
      </w:r>
      <w:r>
        <w:rPr>
          <w:rFonts w:ascii="Times New Roman" w:cs="Times New Roman" w:hAnsi="Times New Roman"/>
          <w:i/>
          <w:iCs/>
          <w:sz w:val="24"/>
          <w:szCs w:val="24"/>
          <w:lang w:val="en-US"/>
        </w:rPr>
        <w:t>Introduction to text linguistics</w:t>
      </w:r>
      <w:r>
        <w:rPr>
          <w:rFonts w:ascii="Times New Roman" w:cs="Times New Roman" w:hAnsi="Times New Roman"/>
          <w:sz w:val="24"/>
          <w:szCs w:val="24"/>
          <w:lang w:val="en-US"/>
        </w:rPr>
        <w:t>. Vol. 1. London: L</w:t>
      </w:r>
      <w:r>
        <w:rPr>
          <w:rFonts w:ascii="Times New Roman" w:cs="Times New Roman" w:hAnsi="Times New Roman"/>
          <w:sz w:val="24"/>
          <w:szCs w:val="24"/>
          <w:lang w:val="en-US"/>
        </w:rPr>
        <w:t>ongman</w:t>
      </w:r>
      <w:r>
        <w:rPr>
          <w:rFonts w:ascii="Times New Roman" w:cs="Times New Roman" w:hAnsi="Times New Roman"/>
          <w:sz w:val="24"/>
          <w:szCs w:val="24"/>
          <w:lang w:val="en-US"/>
        </w:rPr>
        <w:t>, 1981.</w:t>
      </w:r>
    </w:p>
    <w:p w14:paraId="00000109">
      <w:pPr>
        <w:pStyle w:val="ListParagraph"/>
        <w:numPr>
          <w:ilvl w:val="0"/>
          <w:numId w:val="17"/>
        </w:numPr>
        <w:rPr>
          <w:rFonts w:ascii="Times New Roman" w:cs="Times New Roman" w:hAnsi="Times New Roman"/>
          <w:sz w:val="24"/>
          <w:szCs w:val="24"/>
        </w:rPr>
      </w:pPr>
      <w:r>
        <w:rPr>
          <w:rFonts w:ascii="Times New Roman" w:cs="Times New Roman" w:hAnsi="Times New Roman"/>
          <w:sz w:val="24"/>
          <w:szCs w:val="24"/>
          <w:lang w:val="en-US"/>
        </w:rPr>
        <w:t xml:space="preserve">Gadamer, KH. </w:t>
      </w:r>
      <w:r>
        <w:rPr>
          <w:rFonts w:ascii="Times New Roman" w:cs="Times New Roman" w:hAnsi="Times New Roman"/>
          <w:sz w:val="24"/>
          <w:szCs w:val="24"/>
          <w:lang w:val="en-US"/>
        </w:rPr>
        <w:t>Istina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i</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metod</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Osnovy</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filosofskoy</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germenevtiki</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DirectMEDIA</w:t>
      </w:r>
      <w:r>
        <w:rPr>
          <w:rFonts w:ascii="Times New Roman" w:cs="Times New Roman" w:hAnsi="Times New Roman"/>
          <w:sz w:val="24"/>
          <w:szCs w:val="24"/>
          <w:lang w:val="en-US"/>
        </w:rPr>
        <w:t xml:space="preserve">, 1988. </w:t>
      </w:r>
    </w:p>
    <w:p w14:paraId="0000010A">
      <w:pPr>
        <w:pStyle w:val="ListParagraph"/>
        <w:numPr>
          <w:ilvl w:val="0"/>
          <w:numId w:val="17"/>
        </w:numPr>
        <w:rPr>
          <w:rFonts w:ascii="Times New Roman" w:cs="Times New Roman" w:hAnsi="Times New Roman"/>
          <w:sz w:val="24"/>
          <w:szCs w:val="24"/>
          <w:lang w:val="en-US"/>
        </w:rPr>
      </w:pPr>
      <w:r>
        <w:rPr>
          <w:rFonts w:ascii="Times New Roman" w:cs="Times New Roman" w:hAnsi="Times New Roman"/>
          <w:sz w:val="24"/>
          <w:szCs w:val="24"/>
          <w:lang w:val="fr-FR"/>
        </w:rPr>
        <w:t xml:space="preserve">Derrida, Jacques. "Signature Event Context." </w:t>
      </w:r>
      <w:r>
        <w:rPr>
          <w:rFonts w:ascii="Times New Roman" w:cs="Times New Roman" w:hAnsi="Times New Roman"/>
          <w:sz w:val="24"/>
          <w:szCs w:val="24"/>
          <w:lang w:val="en-US"/>
        </w:rPr>
        <w:t>In Margins of Philosophy*, translated by Alan Bass, 307-330. Chicago: University of Chicago Press, 1982.</w:t>
      </w:r>
    </w:p>
    <w:p w14:paraId="0000010B">
      <w:pPr>
        <w:pStyle w:val="ListParagraph"/>
        <w:numPr>
          <w:ilvl w:val="0"/>
          <w:numId w:val="17"/>
        </w:numPr>
        <w:spacing w:after="0"/>
        <w:rPr>
          <w:rFonts w:ascii="Times New Roman" w:cs="Times New Roman" w:hAnsi="Times New Roman"/>
          <w:sz w:val="24"/>
          <w:szCs w:val="24"/>
          <w:lang w:val="fr-FR"/>
        </w:rPr>
      </w:pPr>
      <w:r>
        <w:rPr>
          <w:rFonts w:ascii="Times New Roman" w:cs="Times New Roman" w:hAnsi="Times New Roman"/>
          <w:sz w:val="24"/>
          <w:szCs w:val="24"/>
          <w:lang w:val="en-US"/>
        </w:rPr>
        <w:t>Farrell, Frank B. "Iterability and Meaning: The Searle-Derrida Debate." </w:t>
      </w:r>
      <w:r>
        <w:rPr>
          <w:rFonts w:ascii="Times New Roman" w:cs="Times New Roman" w:hAnsi="Times New Roman"/>
          <w:i/>
          <w:iCs/>
          <w:sz w:val="24"/>
          <w:szCs w:val="24"/>
          <w:lang w:val="fr-FR"/>
        </w:rPr>
        <w:t>Metaphilosophy</w:t>
      </w:r>
      <w:r>
        <w:rPr>
          <w:rFonts w:ascii="Times New Roman" w:cs="Times New Roman" w:hAnsi="Times New Roman"/>
          <w:sz w:val="24"/>
          <w:szCs w:val="24"/>
          <w:lang w:val="fr-FR"/>
        </w:rPr>
        <w:t> 19.1 (1988): 53-64.</w:t>
      </w:r>
    </w:p>
    <w:p w14:paraId="0000010C">
      <w:pPr>
        <w:pStyle w:val="Footnotetext"/>
        <w:numPr>
          <w:ilvl w:val="0"/>
          <w:numId w:val="17"/>
        </w:numPr>
        <w:rPr>
          <w:rFonts w:ascii="Times New Roman" w:cs="Times New Roman" w:hAnsi="Times New Roman"/>
          <w:sz w:val="24"/>
          <w:szCs w:val="24"/>
          <w:lang w:val="fr-FR"/>
        </w:rPr>
      </w:pPr>
      <w:r>
        <w:rPr>
          <w:rStyle w:val="Hyperlink"/>
          <w:rFonts w:ascii="Times New Roman" w:cs="Times New Roman" w:hAnsi="Times New Roman"/>
          <w:b/>
          <w:bCs/>
          <w:sz w:val="24"/>
          <w:szCs w:val="24"/>
          <w:lang w:val="fr-FR"/>
        </w:rPr>
        <w:fldChar w:fldCharType="begin"/>
      </w:r>
      <w:r>
        <w:rPr>
          <w:rStyle w:val="Hyperlink"/>
          <w:rFonts w:ascii="Times New Roman" w:cs="Times New Roman" w:hAnsi="Times New Roman"/>
          <w:b/>
          <w:bCs/>
          <w:sz w:val="24"/>
          <w:szCs w:val="24"/>
          <w:lang w:val="fr-FR"/>
        </w:rPr>
        <w:instrText xml:space="preserve">HYPERLINK "http://www.persee.fr/authority/149" </w:instrText>
      </w:r>
      <w:r>
        <w:rPr>
          <w:rStyle w:val="Hyperlink"/>
          <w:rFonts w:ascii="Times New Roman" w:cs="Times New Roman" w:hAnsi="Times New Roman"/>
          <w:b/>
          <w:bCs/>
          <w:sz w:val="24"/>
          <w:szCs w:val="24"/>
          <w:lang w:val="fr-FR"/>
        </w:rPr>
        <w:fldChar w:fldCharType="separate"/>
      </w:r>
      <w:r>
        <w:rPr>
          <w:rStyle w:val="Hyperlink"/>
          <w:rFonts w:ascii="Times New Roman" w:cs="Times New Roman" w:hAnsi="Times New Roman"/>
          <w:b/>
          <w:bCs/>
          <w:sz w:val="24"/>
          <w:szCs w:val="24"/>
          <w:lang w:val="fr-FR"/>
        </w:rPr>
        <w:t xml:space="preserve"> Greimas</w:t>
      </w:r>
      <w:r>
        <w:rPr>
          <w:rFonts w:ascii="Times New Roman" w:cs="Times New Roman" w:hAnsi="Times New Roman"/>
          <w:sz w:val="24"/>
          <w:szCs w:val="24"/>
          <w:lang w:val="fr-FR"/>
        </w:rPr>
        <w:t xml:space="preserve"> </w:t>
      </w:r>
      <w:r>
        <w:rPr>
          <w:rStyle w:val="Hyperlink"/>
          <w:rFonts w:ascii="Times New Roman" w:cs="Times New Roman" w:hAnsi="Times New Roman"/>
          <w:b/>
          <w:bCs/>
          <w:sz w:val="24"/>
          <w:szCs w:val="24"/>
          <w:lang w:val="fr-FR"/>
        </w:rPr>
        <w:t>A. J,</w:t>
      </w:r>
      <w:r>
        <w:rPr>
          <w:rFonts w:ascii="Times New Roman" w:cs="Times New Roman" w:hAnsi="Times New Roman"/>
          <w:sz w:val="24"/>
          <w:szCs w:val="24"/>
          <w:lang w:val="fr-FR"/>
        </w:rPr>
        <w:fldChar w:fldCharType="end"/>
      </w:r>
      <w:r>
        <w:rPr>
          <w:rFonts w:ascii="Times New Roman" w:cs="Times New Roman" w:hAnsi="Times New Roman"/>
          <w:sz w:val="24"/>
          <w:szCs w:val="24"/>
          <w:lang w:val="fr-FR"/>
        </w:rPr>
        <w:t xml:space="preserve"> </w:t>
      </w:r>
      <w:r>
        <w:rPr>
          <w:rStyle w:val="Hyperlink"/>
          <w:rFonts w:ascii="Times New Roman" w:cs="Times New Roman" w:hAnsi="Times New Roman"/>
          <w:sz w:val="24"/>
          <w:szCs w:val="24"/>
          <w:lang w:val="fr-FR"/>
        </w:rPr>
        <w:fldChar w:fldCharType="begin"/>
      </w:r>
      <w:r>
        <w:rPr>
          <w:rStyle w:val="Hyperlink"/>
          <w:rFonts w:ascii="Times New Roman" w:cs="Times New Roman" w:hAnsi="Times New Roman"/>
          <w:sz w:val="24"/>
          <w:szCs w:val="24"/>
          <w:lang w:val="fr-FR"/>
        </w:rPr>
        <w:instrText xml:space="preserve">HYPERLINK "http://www.persee.fr/collection/lgge" </w:instrText>
      </w:r>
      <w:r>
        <w:rPr>
          <w:rStyle w:val="Hyperlink"/>
          <w:rFonts w:ascii="Times New Roman" w:cs="Times New Roman" w:hAnsi="Times New Roman"/>
          <w:sz w:val="24"/>
          <w:szCs w:val="24"/>
          <w:lang w:val="fr-FR"/>
        </w:rPr>
        <w:fldChar w:fldCharType="separate"/>
      </w:r>
      <w:r>
        <w:rPr>
          <w:rStyle w:val="Hyperlink"/>
          <w:rFonts w:ascii="Times New Roman" w:cs="Times New Roman" w:hAnsi="Times New Roman"/>
          <w:sz w:val="24"/>
          <w:szCs w:val="24"/>
          <w:lang w:val="fr-FR"/>
        </w:rPr>
        <w:t>Langages</w:t>
      </w:r>
      <w:r>
        <w:rPr>
          <w:rFonts w:ascii="Times New Roman" w:cs="Times New Roman" w:hAnsi="Times New Roman"/>
          <w:sz w:val="24"/>
          <w:szCs w:val="24"/>
          <w:lang w:val="fr-FR"/>
        </w:rPr>
        <w:fldChar w:fldCharType="end"/>
      </w:r>
      <w:r>
        <w:rPr>
          <w:rFonts w:ascii="Times New Roman" w:cs="Times New Roman" w:hAnsi="Times New Roman"/>
          <w:sz w:val="24"/>
          <w:szCs w:val="24"/>
          <w:lang w:val="fr-FR"/>
        </w:rPr>
        <w:t xml:space="preserve"> Année 1976 </w:t>
      </w:r>
      <w:r>
        <w:rPr>
          <w:rStyle w:val="Hyperlink"/>
          <w:rFonts w:ascii="Times New Roman" w:cs="Times New Roman" w:hAnsi="Times New Roman"/>
          <w:sz w:val="24"/>
          <w:szCs w:val="24"/>
          <w:lang w:val="fr-FR"/>
        </w:rPr>
        <w:fldChar w:fldCharType="begin"/>
      </w:r>
      <w:r>
        <w:rPr>
          <w:rStyle w:val="Hyperlink"/>
          <w:rFonts w:ascii="Times New Roman" w:cs="Times New Roman" w:hAnsi="Times New Roman"/>
          <w:sz w:val="24"/>
          <w:szCs w:val="24"/>
          <w:lang w:val="fr-FR"/>
        </w:rPr>
        <w:instrText xml:space="preserve">HYPERLINK "http://www.persee.fr/issue/lgge_0458-726x_1976_num_10_43?sectionId=lgge_0458-726x_1976_num_10_43_2322"</w:instrText>
      </w:r>
      <w:r>
        <w:rPr>
          <w:rStyle w:val="Hyperlink"/>
          <w:rFonts w:ascii="Times New Roman" w:cs="Times New Roman" w:hAnsi="Times New Roman"/>
          <w:sz w:val="24"/>
          <w:szCs w:val="24"/>
          <w:lang w:val="fr-FR"/>
        </w:rPr>
        <w:fldChar w:fldCharType="separate"/>
      </w:r>
      <w:r>
        <w:rPr>
          <w:rStyle w:val="Hyperlink"/>
          <w:rFonts w:ascii="Times New Roman" w:cs="Times New Roman" w:hAnsi="Times New Roman"/>
          <w:sz w:val="24"/>
          <w:szCs w:val="24"/>
          <w:lang w:val="fr-FR"/>
        </w:rPr>
        <w:t>43</w:t>
      </w:r>
      <w:r>
        <w:rPr>
          <w:rFonts w:ascii="Times New Roman" w:cs="Times New Roman" w:hAnsi="Times New Roman"/>
          <w:sz w:val="24"/>
          <w:szCs w:val="24"/>
          <w:lang w:val="fr-FR"/>
        </w:rPr>
        <w:fldChar w:fldCharType="end"/>
      </w:r>
      <w:r>
        <w:rPr>
          <w:rFonts w:ascii="Times New Roman" w:cs="Times New Roman" w:hAnsi="Times New Roman"/>
          <w:sz w:val="24"/>
          <w:szCs w:val="24"/>
          <w:lang w:val="fr-FR"/>
        </w:rPr>
        <w:t xml:space="preserve"> pp. 90-101976_num_10_43_2322</w:t>
      </w:r>
      <w:r>
        <w:rPr>
          <w:rFonts w:ascii="Times New Roman" w:cs="Times New Roman" w:hAnsi="Times New Roman"/>
          <w:sz w:val="24"/>
          <w:szCs w:val="24"/>
          <w:lang w:val="fr-FR"/>
        </w:rPr>
        <w:t>7</w:t>
      </w:r>
      <w:r>
        <w:rPr>
          <w:rFonts w:ascii="Times New Roman" w:cs="Times New Roman" w:hAnsi="Times New Roman"/>
          <w:sz w:val="24"/>
          <w:szCs w:val="24"/>
          <w:lang w:val="fr-FR"/>
        </w:rPr>
        <w:t xml:space="preserve"> </w:t>
      </w:r>
      <w:r>
        <w:rPr>
          <w:rStyle w:val="Hyperlink"/>
          <w:rFonts w:ascii="Times New Roman" w:cs="Times New Roman" w:hAnsi="Times New Roman"/>
          <w:sz w:val="24"/>
          <w:szCs w:val="24"/>
          <w:lang w:val="fr-FR"/>
        </w:rPr>
        <w:fldChar w:fldCharType="begin"/>
      </w:r>
      <w:r>
        <w:rPr>
          <w:rStyle w:val="Hyperlink"/>
          <w:rFonts w:ascii="Times New Roman" w:cs="Times New Roman" w:hAnsi="Times New Roman"/>
          <w:sz w:val="24"/>
          <w:szCs w:val="24"/>
          <w:lang w:val="fr-FR"/>
        </w:rPr>
        <w:instrText xml:space="preserve">HYPERLINK "http://www.persee.fr/doc/lgge_0458-726x_" </w:instrText>
      </w:r>
      <w:r>
        <w:rPr>
          <w:rStyle w:val="Hyperlink"/>
          <w:rFonts w:ascii="Times New Roman" w:cs="Times New Roman" w:hAnsi="Times New Roman"/>
          <w:sz w:val="24"/>
          <w:szCs w:val="24"/>
          <w:lang w:val="fr-FR"/>
        </w:rPr>
        <w:fldChar w:fldCharType="separate"/>
      </w:r>
      <w:r>
        <w:rPr>
          <w:rStyle w:val="Hyperlink"/>
          <w:rFonts w:ascii="Times New Roman" w:cs="Times New Roman" w:hAnsi="Times New Roman"/>
          <w:sz w:val="24"/>
          <w:szCs w:val="24"/>
          <w:lang w:val="fr-FR"/>
        </w:rPr>
        <w:t>http://www.persee.fr/doc/lgge_0458-726x_</w:t>
      </w:r>
      <w:r>
        <w:rPr>
          <w:rFonts w:ascii="Times New Roman" w:cs="Times New Roman" w:hAnsi="Times New Roman"/>
          <w:sz w:val="24"/>
          <w:szCs w:val="24"/>
          <w:lang w:val="fr-FR"/>
        </w:rPr>
        <w:fldChar w:fldCharType="end"/>
      </w:r>
    </w:p>
    <w:p w14:paraId="0000010D">
      <w:pPr>
        <w:pStyle w:val="ListParagraph"/>
        <w:numPr>
          <w:ilvl w:val="0"/>
          <w:numId w:val="17"/>
        </w:numPr>
        <w:rPr>
          <w:rFonts w:ascii="Times New Roman" w:cs="Times New Roman" w:hAnsi="Times New Roman"/>
          <w:sz w:val="24"/>
          <w:szCs w:val="24"/>
        </w:rPr>
      </w:pPr>
      <w:r>
        <w:rPr>
          <w:rFonts w:ascii="Times New Roman" w:cs="Times New Roman" w:hAnsi="Times New Roman"/>
          <w:sz w:val="24"/>
          <w:szCs w:val="24"/>
          <w:lang w:val="en-US"/>
        </w:rPr>
        <w:t>Kenaan, Hagi. "Language, philosophy and the risk of failure: rereading the debate between Searle and Derrida." </w:t>
      </w:r>
      <w:r>
        <w:rPr>
          <w:rFonts w:ascii="Times New Roman" w:cs="Times New Roman" w:hAnsi="Times New Roman"/>
          <w:i/>
          <w:iCs/>
          <w:sz w:val="24"/>
          <w:szCs w:val="24"/>
          <w:lang w:val="en-US"/>
        </w:rPr>
        <w:t>Continental Philosophy Review</w:t>
      </w:r>
      <w:r>
        <w:rPr>
          <w:rFonts w:ascii="Times New Roman" w:cs="Times New Roman" w:hAnsi="Times New Roman"/>
          <w:sz w:val="24"/>
          <w:szCs w:val="24"/>
          <w:lang w:val="en-US"/>
        </w:rPr>
        <w:t> 35.2 (2002): 117-133.</w:t>
      </w:r>
    </w:p>
    <w:p w14:paraId="0000010E">
      <w:pPr>
        <w:pStyle w:val="ListParagraph"/>
        <w:numPr>
          <w:ilvl w:val="0"/>
          <w:numId w:val="17"/>
        </w:numPr>
        <w:rPr>
          <w:rFonts w:ascii="Times New Roman" w:cs="Times New Roman" w:hAnsi="Times New Roman"/>
          <w:sz w:val="24"/>
          <w:szCs w:val="24"/>
          <w:lang w:val="en-US"/>
        </w:rPr>
      </w:pPr>
      <w:r>
        <w:rPr>
          <w:rFonts w:ascii="Times New Roman" w:cs="Times New Roman" w:hAnsi="Times New Roman"/>
          <w:sz w:val="24"/>
          <w:szCs w:val="24"/>
          <w:lang w:val="en-US"/>
        </w:rPr>
        <w:t>Khaydegger</w:t>
      </w:r>
      <w:r>
        <w:rPr>
          <w:rFonts w:ascii="Times New Roman" w:cs="Times New Roman" w:hAnsi="Times New Roman"/>
          <w:sz w:val="24"/>
          <w:szCs w:val="24"/>
          <w:lang w:val="en-US"/>
        </w:rPr>
        <w:t xml:space="preserve">, M. "FENOMENOLOGIYA PONIMANIYA SLOVA. SLOVO V GERMENEVTICHESKOM ASPEKTE. </w:t>
      </w:r>
      <w:r>
        <w:rPr>
          <w:rFonts w:ascii="Times New Roman" w:cs="Times New Roman" w:hAnsi="Times New Roman"/>
          <w:sz w:val="24"/>
          <w:szCs w:val="24"/>
          <w:lang w:val="en-US"/>
        </w:rPr>
        <w:t>GERMENEVTICHESKIYe</w:t>
      </w:r>
      <w:r>
        <w:rPr>
          <w:rFonts w:ascii="Times New Roman" w:cs="Times New Roman" w:hAnsi="Times New Roman"/>
          <w:sz w:val="24"/>
          <w:szCs w:val="24"/>
          <w:lang w:val="en-US"/>
        </w:rPr>
        <w:t xml:space="preserve"> KRUGI.</w:t>
      </w:r>
    </w:p>
    <w:p w14:paraId="0000010F">
      <w:pPr>
        <w:pStyle w:val="ListParagraph"/>
        <w:numPr>
          <w:ilvl w:val="0"/>
          <w:numId w:val="17"/>
        </w:numPr>
        <w:rPr>
          <w:rFonts w:ascii="Times New Roman" w:cs="Times New Roman" w:hAnsi="Times New Roman"/>
          <w:sz w:val="24"/>
          <w:szCs w:val="24"/>
          <w:lang w:val="en-US"/>
        </w:rPr>
      </w:pPr>
      <w:r>
        <w:rPr>
          <w:rFonts w:ascii="Times New Roman" w:cs="Times New Roman" w:hAnsi="Times New Roman"/>
          <w:sz w:val="24"/>
          <w:szCs w:val="24"/>
          <w:lang w:val="en-US"/>
        </w:rPr>
        <w:t>Moati</w:t>
      </w:r>
      <w:r>
        <w:rPr>
          <w:rFonts w:ascii="Times New Roman" w:cs="Times New Roman" w:hAnsi="Times New Roman"/>
          <w:sz w:val="24"/>
          <w:szCs w:val="24"/>
          <w:lang w:val="en-US"/>
        </w:rPr>
        <w:t>, Raoul. </w:t>
      </w:r>
      <w:r>
        <w:rPr>
          <w:rFonts w:ascii="Times New Roman" w:cs="Times New Roman" w:hAnsi="Times New Roman"/>
          <w:i/>
          <w:iCs/>
          <w:sz w:val="24"/>
          <w:szCs w:val="24"/>
          <w:lang w:val="en-US"/>
        </w:rPr>
        <w:t>Derrida/Searle: Deconstruction and ordinary language</w:t>
      </w:r>
      <w:r>
        <w:rPr>
          <w:rFonts w:ascii="Times New Roman" w:cs="Times New Roman" w:hAnsi="Times New Roman"/>
          <w:sz w:val="24"/>
          <w:szCs w:val="24"/>
          <w:lang w:val="en-US"/>
        </w:rPr>
        <w:t>. Columbia University Press, 2014.Deconstructive vs Pragmatic: A Critique of the Derrida–Searle Debate: The European Legacy: Vol 25, No1 </w:t>
      </w:r>
      <w:r>
        <w:rPr>
          <w:rStyle w:val="Hyperlink"/>
          <w:rFonts w:ascii="Times New Roman" w:cs="Times New Roman" w:hAnsi="Times New Roman"/>
          <w:sz w:val="24"/>
          <w:szCs w:val="24"/>
          <w:lang w:val="en-US"/>
        </w:rPr>
        <w:fldChar w:fldCharType="begin"/>
      </w:r>
      <w:r>
        <w:rPr>
          <w:rStyle w:val="Hyperlink"/>
          <w:rFonts w:ascii="Times New Roman" w:cs="Times New Roman" w:hAnsi="Times New Roman"/>
          <w:sz w:val="24"/>
          <w:szCs w:val="24"/>
          <w:lang w:val="en-US"/>
        </w:rPr>
        <w:instrText xml:space="preserve">HYPERLINK "https://share.google/sAUm4xK4ZxlRX42Tk" </w:instrText>
      </w:r>
      <w:r>
        <w:rPr>
          <w:rStyle w:val="Hyperlink"/>
          <w:rFonts w:ascii="Times New Roman" w:cs="Times New Roman" w:hAnsi="Times New Roman"/>
          <w:sz w:val="24"/>
          <w:szCs w:val="24"/>
          <w:lang w:val="en-US"/>
        </w:rPr>
        <w:fldChar w:fldCharType="separate"/>
      </w:r>
      <w:r>
        <w:rPr>
          <w:rStyle w:val="Hyperlink"/>
          <w:rFonts w:ascii="Times New Roman" w:cs="Times New Roman" w:hAnsi="Times New Roman"/>
          <w:sz w:val="24"/>
          <w:szCs w:val="24"/>
          <w:lang w:val="en-US"/>
        </w:rPr>
        <w:t>https://share.google/sAUm4xK4ZxlRX42Tk</w:t>
      </w:r>
      <w:r>
        <w:rPr>
          <w:rFonts w:ascii="Times New Roman" w:cs="Times New Roman" w:hAnsi="Times New Roman"/>
          <w:sz w:val="24"/>
          <w:szCs w:val="24"/>
          <w:lang w:val="en-US"/>
        </w:rPr>
        <w:fldChar w:fldCharType="end"/>
      </w:r>
    </w:p>
    <w:p w14:paraId="00000110">
      <w:pPr>
        <w:pStyle w:val="ListParagraph"/>
        <w:numPr>
          <w:ilvl w:val="0"/>
          <w:numId w:val="17"/>
        </w:numPr>
        <w:rPr>
          <w:rFonts w:ascii="Times New Roman" w:cs="Times New Roman" w:hAnsi="Times New Roman"/>
          <w:sz w:val="24"/>
          <w:szCs w:val="24"/>
          <w:lang w:val="en-US"/>
        </w:rPr>
      </w:pPr>
      <w:r>
        <w:rPr>
          <w:rFonts w:ascii="Times New Roman" w:cs="Times New Roman" w:hAnsi="Times New Roman"/>
          <w:sz w:val="24"/>
          <w:szCs w:val="24"/>
          <w:lang w:val="en-US"/>
        </w:rPr>
        <w:t>Raffel, Stanley. "Understanding each other: The case of the Derrida-Searle debate." </w:t>
      </w:r>
      <w:r>
        <w:rPr>
          <w:rFonts w:ascii="Times New Roman" w:cs="Times New Roman" w:hAnsi="Times New Roman"/>
          <w:i/>
          <w:iCs/>
          <w:sz w:val="24"/>
          <w:szCs w:val="24"/>
          <w:lang w:val="en-US"/>
        </w:rPr>
        <w:t>Human studies</w:t>
      </w:r>
      <w:r>
        <w:rPr>
          <w:rFonts w:ascii="Times New Roman" w:cs="Times New Roman" w:hAnsi="Times New Roman"/>
          <w:sz w:val="24"/>
          <w:szCs w:val="24"/>
          <w:lang w:val="en-US"/>
        </w:rPr>
        <w:t> 34.3 (2011): 277-292.</w:t>
      </w:r>
    </w:p>
    <w:p w14:paraId="00000111">
      <w:pPr>
        <w:pStyle w:val="ListParagraph"/>
        <w:numPr>
          <w:ilvl w:val="0"/>
          <w:numId w:val="17"/>
        </w:numPr>
        <w:rPr>
          <w:rFonts w:ascii="Times New Roman" w:cs="Times New Roman" w:hAnsi="Times New Roman"/>
          <w:sz w:val="24"/>
          <w:szCs w:val="24"/>
          <w:lang w:val="en-US"/>
        </w:rPr>
      </w:pPr>
      <w:r>
        <w:rPr>
          <w:rFonts w:ascii="Times New Roman" w:cs="Times New Roman" w:hAnsi="Times New Roman"/>
          <w:sz w:val="24"/>
          <w:szCs w:val="24"/>
          <w:lang w:val="en-US"/>
        </w:rPr>
        <w:t>Searle, J. R. "John Searle speech acts." (1969).</w:t>
      </w:r>
      <w:r>
        <w:rPr>
          <w:rFonts w:ascii="Times New Roman" w:cs="Times New Roman" w:hAnsi="Times New Roman"/>
          <w:color w:val="006621"/>
          <w:sz w:val="24"/>
          <w:szCs w:val="24"/>
          <w:shd w:val="clear" w:color="auto" w:fill="ffffff"/>
          <w:lang w:val="en-US"/>
        </w:rPr>
        <w:t xml:space="preserve"> </w:t>
      </w:r>
      <w:r>
        <w:rPr>
          <w:rFonts w:ascii="Times New Roman" w:cs="Times New Roman" w:hAnsi="Times New Roman"/>
          <w:sz w:val="24"/>
          <w:szCs w:val="24"/>
          <w:lang w:val="en-US"/>
        </w:rPr>
        <w:t>JR </w:t>
      </w:r>
      <w:r>
        <w:rPr>
          <w:rFonts w:ascii="Times New Roman" w:cs="Times New Roman" w:hAnsi="Times New Roman"/>
          <w:b/>
          <w:bCs/>
          <w:sz w:val="24"/>
          <w:szCs w:val="24"/>
          <w:lang w:val="en-US"/>
        </w:rPr>
        <w:t>Searle</w:t>
      </w:r>
      <w:r>
        <w:rPr>
          <w:rFonts w:ascii="Times New Roman" w:cs="Times New Roman" w:hAnsi="Times New Roman"/>
          <w:sz w:val="24"/>
          <w:szCs w:val="24"/>
          <w:lang w:val="en-US"/>
        </w:rPr>
        <w:t> - </w:t>
      </w:r>
      <w:r>
        <w:rPr>
          <w:rFonts w:ascii="Times New Roman" w:cs="Times New Roman" w:hAnsi="Times New Roman"/>
          <w:b/>
          <w:bCs/>
          <w:sz w:val="24"/>
          <w:szCs w:val="24"/>
          <w:lang w:val="en-US"/>
        </w:rPr>
        <w:t>1969</w:t>
      </w:r>
      <w:r>
        <w:rPr>
          <w:rFonts w:ascii="Times New Roman" w:cs="Times New Roman" w:hAnsi="Times New Roman"/>
          <w:sz w:val="24"/>
          <w:szCs w:val="24"/>
          <w:lang w:val="en-US"/>
        </w:rPr>
        <w:t> - Cambridge University Press</w:t>
      </w:r>
      <w:r>
        <w:rPr>
          <w:rFonts w:ascii="Times New Roman" w:cs="Times New Roman" w:hAnsi="Times New Roman"/>
          <w:sz w:val="24"/>
          <w:szCs w:val="24"/>
          <w:lang w:val="en-US"/>
        </w:rPr>
        <w:t>.</w:t>
      </w:r>
    </w:p>
    <w:p w14:paraId="00000112">
      <w:pPr>
        <w:pStyle w:val="ListParagraph"/>
        <w:numPr>
          <w:ilvl w:val="0"/>
          <w:numId w:val="17"/>
        </w:numPr>
        <w:spacing w:after="0" w:line="240" w:lineRule="auto"/>
        <w:rPr>
          <w:rFonts w:ascii="Times New Roman" w:cs="Times New Roman" w:hAnsi="Times New Roman"/>
          <w:sz w:val="24"/>
          <w:szCs w:val="24"/>
          <w:lang w:val="en-US"/>
        </w:rPr>
      </w:pPr>
      <w:r>
        <w:rPr>
          <w:rFonts w:ascii="Times New Roman" w:cs="Times New Roman" w:hAnsi="Times New Roman"/>
          <w:sz w:val="24"/>
          <w:szCs w:val="24"/>
          <w:lang w:val="en-US"/>
        </w:rPr>
        <w:t>Searle, John. "Reiterating the differences: A reply to Jacques Derrida." (1977).</w:t>
      </w:r>
    </w:p>
    <w:p w14:paraId="00000113">
      <w:pPr>
        <w:pStyle w:val="ListParagraph"/>
        <w:numPr>
          <w:ilvl w:val="0"/>
          <w:numId w:val="17"/>
        </w:numPr>
        <w:spacing w:after="0" w:line="240" w:lineRule="auto"/>
        <w:jc w:val="both"/>
        <w:rPr>
          <w:rFonts w:ascii="Times New Roman" w:cs="Times New Roman" w:hAnsi="Times New Roman"/>
          <w:sz w:val="24"/>
          <w:szCs w:val="24"/>
          <w:lang w:val="en-US"/>
        </w:rPr>
      </w:pPr>
      <w:r>
        <w:rPr>
          <w:rFonts w:ascii="Times New Roman" w:cs="Times New Roman" w:hAnsi="Times New Roman"/>
          <w:sz w:val="24"/>
          <w:szCs w:val="24"/>
          <w:lang w:val="en-US"/>
        </w:rPr>
        <w:t>Shakespeare</w:t>
      </w:r>
      <w:r>
        <w:rPr>
          <w:rFonts w:ascii="Times New Roman" w:cs="Times New Roman" w:hAnsi="Times New Roman"/>
          <w:sz w:val="24"/>
          <w:szCs w:val="24"/>
        </w:rPr>
        <w:t xml:space="preserve"> </w:t>
      </w:r>
      <w:r>
        <w:rPr>
          <w:rFonts w:ascii="Times New Roman" w:cs="Times New Roman" w:hAnsi="Times New Roman"/>
          <w:sz w:val="24"/>
          <w:szCs w:val="24"/>
          <w:lang w:val="en-US"/>
        </w:rPr>
        <w:t>William</w:t>
      </w:r>
      <w:r>
        <w:rPr>
          <w:rFonts w:ascii="Times New Roman" w:cs="Times New Roman" w:hAnsi="Times New Roman"/>
          <w:sz w:val="24"/>
          <w:szCs w:val="24"/>
        </w:rPr>
        <w:t xml:space="preserve">: </w:t>
      </w:r>
      <w:r>
        <w:rPr>
          <w:rFonts w:ascii="Times New Roman" w:cs="Times New Roman" w:hAnsi="Times New Roman"/>
          <w:sz w:val="24"/>
          <w:szCs w:val="24"/>
          <w:lang w:val="en-US"/>
        </w:rPr>
        <w:t>Sonnets</w:t>
      </w:r>
      <w:r>
        <w:rPr>
          <w:rFonts w:ascii="Times New Roman" w:cs="Times New Roman" w:hAnsi="Times New Roman"/>
          <w:sz w:val="24"/>
          <w:szCs w:val="24"/>
        </w:rPr>
        <w:t xml:space="preserve">, </w:t>
      </w:r>
      <w:r>
        <w:rPr>
          <w:rFonts w:ascii="Times New Roman" w:cs="Times New Roman" w:hAnsi="Times New Roman"/>
          <w:sz w:val="24"/>
          <w:szCs w:val="24"/>
        </w:rPr>
        <w:t>С</w:t>
      </w:r>
      <w:r>
        <w:rPr>
          <w:rFonts w:ascii="Times New Roman" w:cs="Times New Roman" w:hAnsi="Times New Roman"/>
          <w:sz w:val="24"/>
          <w:szCs w:val="24"/>
        </w:rPr>
        <w:t xml:space="preserve">. 144 </w:t>
      </w:r>
      <w:r>
        <w:rPr>
          <w:rFonts w:ascii="Times New Roman" w:cs="Times New Roman" w:hAnsi="Times New Roman"/>
          <w:sz w:val="24"/>
          <w:szCs w:val="24"/>
        </w:rPr>
        <w:t>Шекспир</w:t>
      </w:r>
      <w:r>
        <w:rPr>
          <w:rFonts w:ascii="Times New Roman" w:cs="Times New Roman" w:hAnsi="Times New Roman"/>
          <w:sz w:val="24"/>
          <w:szCs w:val="24"/>
        </w:rPr>
        <w:t xml:space="preserve">: </w:t>
      </w:r>
      <w:r>
        <w:rPr>
          <w:rFonts w:ascii="Times New Roman" w:cs="Times New Roman" w:hAnsi="Times New Roman"/>
          <w:sz w:val="24"/>
          <w:szCs w:val="24"/>
        </w:rPr>
        <w:t>собрание</w:t>
      </w:r>
      <w:r>
        <w:rPr>
          <w:rFonts w:ascii="Times New Roman" w:cs="Times New Roman" w:hAnsi="Times New Roman"/>
          <w:sz w:val="24"/>
          <w:szCs w:val="24"/>
        </w:rPr>
        <w:t xml:space="preserve"> </w:t>
      </w:r>
      <w:r>
        <w:rPr>
          <w:rFonts w:ascii="Times New Roman" w:cs="Times New Roman" w:hAnsi="Times New Roman"/>
          <w:sz w:val="24"/>
          <w:szCs w:val="24"/>
        </w:rPr>
        <w:t>сочинений</w:t>
      </w:r>
      <w:r>
        <w:rPr>
          <w:rFonts w:ascii="Times New Roman" w:cs="Times New Roman" w:hAnsi="Times New Roman"/>
          <w:sz w:val="24"/>
          <w:szCs w:val="24"/>
        </w:rPr>
        <w:t xml:space="preserve">, </w:t>
      </w:r>
      <w:r>
        <w:rPr>
          <w:rFonts w:ascii="Times New Roman" w:cs="Times New Roman" w:hAnsi="Times New Roman"/>
          <w:sz w:val="24"/>
          <w:szCs w:val="24"/>
        </w:rPr>
        <w:t>С</w:t>
      </w:r>
      <w:r>
        <w:rPr>
          <w:rFonts w:ascii="Times New Roman" w:cs="Times New Roman" w:hAnsi="Times New Roman"/>
          <w:sz w:val="24"/>
          <w:szCs w:val="24"/>
        </w:rPr>
        <w:t>. 15554 (</w:t>
      </w:r>
      <w:r>
        <w:rPr>
          <w:rFonts w:ascii="Times New Roman" w:cs="Times New Roman" w:hAnsi="Times New Roman"/>
          <w:sz w:val="24"/>
          <w:szCs w:val="24"/>
        </w:rPr>
        <w:t>ср</w:t>
      </w:r>
      <w:r>
        <w:rPr>
          <w:rFonts w:ascii="Times New Roman" w:cs="Times New Roman" w:hAnsi="Times New Roman"/>
          <w:sz w:val="24"/>
          <w:szCs w:val="24"/>
        </w:rPr>
        <w:t xml:space="preserve">. </w:t>
      </w:r>
      <w:r>
        <w:rPr>
          <w:rFonts w:ascii="Times New Roman" w:cs="Times New Roman" w:hAnsi="Times New Roman"/>
          <w:sz w:val="24"/>
          <w:szCs w:val="24"/>
          <w:lang w:val="en-US"/>
        </w:rPr>
        <w:t xml:space="preserve">Shakespeare-Riverside, </w:t>
      </w:r>
      <w:r>
        <w:rPr>
          <w:rFonts w:ascii="Times New Roman" w:cs="Times New Roman" w:hAnsi="Times New Roman"/>
          <w:sz w:val="24"/>
          <w:szCs w:val="24"/>
        </w:rPr>
        <w:t>С</w:t>
      </w:r>
      <w:r>
        <w:rPr>
          <w:rFonts w:ascii="Times New Roman" w:cs="Times New Roman" w:hAnsi="Times New Roman"/>
          <w:sz w:val="24"/>
          <w:szCs w:val="24"/>
          <w:lang w:val="en-US"/>
        </w:rPr>
        <w:t>. 1775)]</w:t>
      </w:r>
      <w:r>
        <w:rPr>
          <w:rFonts w:ascii="Times New Roman" w:cs="Times New Roman" w:hAnsi="Times New Roman"/>
          <w:sz w:val="24"/>
          <w:szCs w:val="24"/>
          <w:lang w:val="en-US"/>
        </w:rPr>
        <w:t>.</w:t>
      </w:r>
    </w:p>
    <w:p w14:paraId="00000114">
      <w:pPr>
        <w:pStyle w:val="Footnotetext"/>
        <w:numPr>
          <w:ilvl w:val="0"/>
          <w:numId w:val="17"/>
        </w:numPr>
        <w:rPr>
          <w:rFonts w:ascii="Times New Roman" w:cs="Times New Roman" w:hAnsi="Times New Roman"/>
          <w:sz w:val="24"/>
          <w:szCs w:val="24"/>
          <w:lang w:val="en-US"/>
        </w:rPr>
      </w:pPr>
      <w:r>
        <w:rPr>
          <w:rFonts w:ascii="Times New Roman" w:cs="Times New Roman" w:hAnsi="Times New Roman"/>
          <w:sz w:val="24"/>
          <w:szCs w:val="24"/>
          <w:lang w:val="en-US"/>
        </w:rPr>
        <w:t xml:space="preserve">Vaswani, Ashish, et al. </w:t>
      </w:r>
      <w:r>
        <w:rPr>
          <w:rFonts w:ascii="Times New Roman" w:cs="Times New Roman" w:hAnsi="Times New Roman"/>
          <w:i/>
          <w:iCs/>
          <w:sz w:val="24"/>
          <w:szCs w:val="24"/>
          <w:lang w:val="en-US"/>
        </w:rPr>
        <w:t>"Attention is all you need."</w:t>
      </w:r>
      <w:r>
        <w:rPr>
          <w:rFonts w:ascii="Times New Roman" w:cs="Times New Roman" w:hAnsi="Times New Roman"/>
          <w:sz w:val="24"/>
          <w:szCs w:val="24"/>
          <w:lang w:val="en-US"/>
        </w:rPr>
        <w:t> </w:t>
      </w:r>
      <w:r>
        <w:rPr>
          <w:rFonts w:ascii="Times New Roman" w:cs="Times New Roman" w:hAnsi="Times New Roman"/>
          <w:i/>
          <w:iCs/>
          <w:sz w:val="24"/>
          <w:szCs w:val="24"/>
          <w:lang w:val="en-US"/>
        </w:rPr>
        <w:t>Advances in neural information processing systems</w:t>
      </w:r>
      <w:r>
        <w:rPr>
          <w:rFonts w:ascii="Times New Roman" w:cs="Times New Roman" w:hAnsi="Times New Roman"/>
          <w:sz w:val="24"/>
          <w:szCs w:val="24"/>
          <w:lang w:val="en-US"/>
        </w:rPr>
        <w:t> 30 (2017).</w:t>
      </w:r>
    </w:p>
    <w:p w14:paraId="00000115">
      <w:pPr>
        <w:pStyle w:val="Footnotetext"/>
        <w:spacing w:line="360" w:lineRule="auto"/>
        <w:rPr>
          <w:rFonts w:ascii="Times New Roman" w:cs="Times New Roman" w:hAnsi="Times New Roman"/>
          <w:sz w:val="24"/>
          <w:szCs w:val="24"/>
          <w:lang w:val="en-US"/>
        </w:rPr>
      </w:pPr>
    </w:p>
    <w:p w14:paraId="00000116">
      <w:pPr>
        <w:pStyle w:val="Footnotetext"/>
        <w:spacing w:after="240" w:line="360" w:lineRule="auto"/>
        <w:rPr>
          <w:rFonts w:ascii="Times New Roman" w:cs="Times New Roman" w:hAnsi="Times New Roman"/>
          <w:sz w:val="28"/>
          <w:szCs w:val="28"/>
        </w:rPr>
      </w:pPr>
      <w:r>
        <w:rPr>
          <w:rFonts w:ascii="Times New Roman" w:cs="Times New Roman" w:hAnsi="Times New Roman"/>
          <w:sz w:val="28"/>
          <w:szCs w:val="28"/>
        </w:rPr>
        <w:t>СВЕДЕНИЯ ОБ АВТОРАХ</w:t>
      </w:r>
    </w:p>
    <w:p w14:paraId="00000117">
      <w:pPr>
        <w:pStyle w:val="Footnotetext"/>
        <w:rPr>
          <w:rFonts w:ascii="Times New Roman" w:cs="Times New Roman" w:hAnsi="Times New Roman"/>
          <w:sz w:val="24"/>
          <w:szCs w:val="24"/>
        </w:rPr>
      </w:pPr>
      <w:r>
        <w:rPr>
          <w:rFonts w:ascii="Times New Roman" w:cs="Times New Roman" w:hAnsi="Times New Roman"/>
          <w:sz w:val="24"/>
          <w:szCs w:val="24"/>
        </w:rPr>
        <w:t>Наталья Николаевна Белозёрова</w:t>
      </w:r>
      <w:r>
        <w:rPr>
          <w:rFonts w:ascii="Times New Roman" w:cs="Times New Roman" w:hAnsi="Times New Roman"/>
          <w:sz w:val="24"/>
          <w:szCs w:val="24"/>
        </w:rPr>
        <w:t xml:space="preserve"> – </w:t>
      </w:r>
      <w:r>
        <w:rPr>
          <w:rFonts w:ascii="Times New Roman" w:cs="Times New Roman" w:hAnsi="Times New Roman"/>
          <w:sz w:val="24"/>
          <w:szCs w:val="24"/>
        </w:rPr>
        <w:t xml:space="preserve">доктор филологических наук, профессор, профессор кафедры прикладной и теоретической лингвистики, институт социально-гуманитарных </w:t>
      </w:r>
      <w:r>
        <w:rPr>
          <w:rFonts w:ascii="Times New Roman" w:cs="Times New Roman" w:hAnsi="Times New Roman"/>
          <w:sz w:val="24"/>
          <w:szCs w:val="24"/>
        </w:rPr>
        <w:t xml:space="preserve">наук, ФГАОУ ВО «Тюменский государственный университет» (625003, Россия, г. Тюмень ул. Володарского, 6), </w:t>
      </w:r>
      <w:r>
        <w:rPr>
          <w:rFonts w:ascii="Times New Roman" w:cs="Times New Roman" w:hAnsi="Times New Roman"/>
          <w:sz w:val="24"/>
          <w:szCs w:val="24"/>
        </w:rPr>
        <w:t>email:n.n.belozerova@utmn.ru</w:t>
      </w:r>
    </w:p>
    <w:p w14:paraId="00000118">
      <w:pPr>
        <w:pStyle w:val="Footnotetext"/>
        <w:rPr>
          <w:rFonts w:ascii="Times New Roman" w:cs="Times New Roman" w:hAnsi="Times New Roman"/>
          <w:sz w:val="24"/>
          <w:szCs w:val="24"/>
        </w:rPr>
      </w:pPr>
      <w:r>
        <w:rPr>
          <w:rFonts w:ascii="Times New Roman" w:cs="Times New Roman" w:hAnsi="Times New Roman"/>
          <w:sz w:val="24"/>
          <w:szCs w:val="24"/>
        </w:rPr>
        <w:t>ORCID: 0000-0003-0892-7380</w:t>
      </w:r>
    </w:p>
    <w:p w14:paraId="00000119">
      <w:pPr>
        <w:pStyle w:val="Footnotetext"/>
        <w:rPr>
          <w:rFonts w:ascii="Times New Roman" w:cs="Times New Roman" w:hAnsi="Times New Roman"/>
          <w:sz w:val="24"/>
          <w:szCs w:val="24"/>
        </w:rPr>
      </w:pPr>
    </w:p>
    <w:p w14:paraId="0000011A">
      <w:pPr>
        <w:pStyle w:val="Footnotetext"/>
        <w:rPr>
          <w:rFonts w:ascii="Times New Roman" w:cs="Times New Roman" w:hAnsi="Times New Roman"/>
          <w:sz w:val="24"/>
          <w:szCs w:val="24"/>
          <w:vertAlign w:val="superscript"/>
        </w:rPr>
      </w:pPr>
      <w:r>
        <w:rPr>
          <w:rFonts w:ascii="Times New Roman" w:cs="Times New Roman" w:hAnsi="Times New Roman"/>
          <w:sz w:val="24"/>
          <w:szCs w:val="24"/>
        </w:rPr>
        <w:t>Анна Валерьевна Габриэлян</w:t>
      </w:r>
      <w:r>
        <w:rPr>
          <w:rFonts w:ascii="Times New Roman" w:cs="Times New Roman" w:hAnsi="Times New Roman"/>
          <w:sz w:val="24"/>
          <w:szCs w:val="24"/>
          <w:vertAlign w:val="superscript"/>
        </w:rPr>
        <w:t>1</w:t>
      </w:r>
      <w:r>
        <w:rPr>
          <w:rFonts w:ascii="Times New Roman" w:cs="Times New Roman" w:hAnsi="Times New Roman"/>
          <w:sz w:val="24"/>
          <w:szCs w:val="24"/>
        </w:rPr>
        <w:t>,</w:t>
      </w:r>
      <w:r>
        <w:rPr>
          <w:rFonts w:ascii="Times New Roman" w:cs="Times New Roman" w:hAnsi="Times New Roman"/>
          <w:sz w:val="24"/>
          <w:szCs w:val="24"/>
        </w:rPr>
        <w:t xml:space="preserve"> Михаил Александрович Воронков</w:t>
      </w:r>
      <w:r>
        <w:rPr>
          <w:rFonts w:ascii="Times New Roman" w:cs="Times New Roman" w:hAnsi="Times New Roman"/>
          <w:sz w:val="24"/>
          <w:szCs w:val="24"/>
          <w:vertAlign w:val="superscript"/>
        </w:rPr>
        <w:t>2</w:t>
      </w:r>
      <w:r>
        <w:rPr>
          <w:rFonts w:ascii="Times New Roman" w:cs="Times New Roman" w:hAnsi="Times New Roman"/>
          <w:sz w:val="24"/>
          <w:szCs w:val="24"/>
        </w:rPr>
        <w:t>,</w:t>
      </w:r>
      <w:r>
        <w:rPr>
          <w:rFonts w:ascii="Times New Roman" w:cs="Times New Roman" w:hAnsi="Times New Roman"/>
          <w:sz w:val="24"/>
          <w:szCs w:val="24"/>
        </w:rPr>
        <w:t xml:space="preserve"> Полина Александровна Зименс</w:t>
      </w:r>
      <w:r>
        <w:rPr>
          <w:rFonts w:ascii="Times New Roman" w:cs="Times New Roman" w:hAnsi="Times New Roman"/>
          <w:sz w:val="24"/>
          <w:szCs w:val="24"/>
          <w:vertAlign w:val="superscript"/>
        </w:rPr>
        <w:t>3</w:t>
      </w:r>
    </w:p>
    <w:p w14:paraId="0000011B">
      <w:pPr>
        <w:pStyle w:val="Footnotetext"/>
        <w:rPr>
          <w:rFonts w:ascii="Times New Roman" w:cs="Times New Roman" w:hAnsi="Times New Roman"/>
          <w:sz w:val="24"/>
          <w:szCs w:val="24"/>
        </w:rPr>
      </w:pPr>
      <w:r>
        <w:rPr>
          <w:rFonts w:ascii="Times New Roman" w:cs="Times New Roman" w:hAnsi="Times New Roman"/>
          <w:sz w:val="24"/>
          <w:szCs w:val="24"/>
          <w:vertAlign w:val="superscript"/>
        </w:rPr>
        <w:t>1</w:t>
      </w:r>
      <w:r>
        <w:rPr>
          <w:rFonts w:ascii="Times New Roman" w:cs="Times New Roman" w:hAnsi="Times New Roman"/>
          <w:sz w:val="24"/>
          <w:szCs w:val="24"/>
          <w:vertAlign w:val="superscript"/>
        </w:rPr>
        <w:t>`</w:t>
      </w:r>
      <w:r>
        <w:rPr>
          <w:rFonts w:ascii="Times New Roman" w:cs="Times New Roman" w:hAnsi="Times New Roman"/>
          <w:sz w:val="24"/>
          <w:szCs w:val="24"/>
          <w:vertAlign w:val="superscript"/>
        </w:rPr>
        <w:t>2</w:t>
      </w:r>
      <w:r>
        <w:rPr>
          <w:rFonts w:ascii="Times New Roman" w:cs="Times New Roman" w:hAnsi="Times New Roman"/>
          <w:sz w:val="24"/>
          <w:szCs w:val="24"/>
          <w:vertAlign w:val="superscript"/>
        </w:rPr>
        <w:t>`</w:t>
      </w:r>
      <w:r>
        <w:rPr>
          <w:rFonts w:ascii="Times New Roman" w:cs="Times New Roman" w:hAnsi="Times New Roman"/>
          <w:sz w:val="24"/>
          <w:szCs w:val="24"/>
          <w:vertAlign w:val="superscript"/>
        </w:rPr>
        <w:t>3</w:t>
      </w:r>
      <w:r>
        <w:rPr>
          <w:rFonts w:ascii="Times New Roman" w:cs="Times New Roman" w:hAnsi="Times New Roman"/>
          <w:sz w:val="24"/>
          <w:szCs w:val="24"/>
          <w:vertAlign w:val="superscript"/>
        </w:rPr>
        <w:t xml:space="preserve"> </w:t>
      </w:r>
      <w:r>
        <w:rPr>
          <w:rFonts w:ascii="Times New Roman" w:cs="Times New Roman" w:hAnsi="Times New Roman"/>
          <w:sz w:val="24"/>
          <w:szCs w:val="24"/>
        </w:rPr>
        <w:t>Институт социально-гуманитарных наук</w:t>
      </w:r>
      <w:r>
        <w:rPr>
          <w:rFonts w:ascii="Times New Roman" w:cs="Times New Roman" w:hAnsi="Times New Roman"/>
          <w:sz w:val="24"/>
          <w:szCs w:val="24"/>
        </w:rPr>
        <w:t xml:space="preserve">, </w:t>
      </w:r>
      <w:r>
        <w:rPr>
          <w:rFonts w:ascii="Times New Roman" w:cs="Times New Roman" w:hAnsi="Times New Roman"/>
          <w:sz w:val="24"/>
          <w:szCs w:val="24"/>
        </w:rPr>
        <w:t>ФГАОУ ВО «Тюменский государственный университет» (625003, Россия, г. Тюмень, ул. Володарского, 6)</w:t>
      </w:r>
    </w:p>
    <w:p w14:paraId="0000011C">
      <w:pPr>
        <w:pStyle w:val="Footnotetext"/>
        <w:rPr>
          <w:rFonts w:ascii="Times New Roman" w:cs="Times New Roman" w:hAnsi="Times New Roman"/>
          <w:sz w:val="24"/>
          <w:szCs w:val="24"/>
          <w:vertAlign w:val="superscript"/>
        </w:rPr>
      </w:pPr>
      <w:r>
        <w:rPr>
          <w:rFonts w:ascii="Times New Roman" w:cs="Times New Roman" w:hAnsi="Times New Roman"/>
          <w:sz w:val="24"/>
          <w:szCs w:val="24"/>
          <w:vertAlign w:val="superscript"/>
        </w:rPr>
        <w:t>1</w:t>
      </w:r>
      <w:r>
        <w:rPr>
          <w:rFonts w:ascii="Times New Roman" w:cs="Times New Roman" w:hAnsi="Times New Roman"/>
          <w:sz w:val="24"/>
          <w:szCs w:val="24"/>
        </w:rPr>
        <w:t>stud0000220942@study.utmn.ru, https://orcid.org/0009-0000-1604-9720</w:t>
      </w:r>
    </w:p>
    <w:p w14:paraId="0000011D">
      <w:pPr>
        <w:pStyle w:val="Footnotetext"/>
        <w:rPr>
          <w:rFonts w:ascii="Times New Roman" w:cs="Times New Roman" w:hAnsi="Times New Roman"/>
          <w:sz w:val="24"/>
          <w:szCs w:val="24"/>
          <w:vertAlign w:val="superscript"/>
        </w:rPr>
      </w:pPr>
      <w:r>
        <w:rPr>
          <w:rFonts w:ascii="Times New Roman" w:cs="Times New Roman" w:hAnsi="Times New Roman"/>
          <w:sz w:val="24"/>
          <w:szCs w:val="24"/>
          <w:vertAlign w:val="superscript"/>
        </w:rPr>
        <w:t>2</w:t>
      </w:r>
      <w:r>
        <w:rPr>
          <w:rFonts w:ascii="Times New Roman" w:cs="Times New Roman" w:hAnsi="Times New Roman"/>
          <w:sz w:val="24"/>
          <w:szCs w:val="24"/>
        </w:rPr>
        <w:t>stud0000263093@study.utmn.ru, https://orcid.org/0009-0004-1523-2135</w:t>
      </w:r>
    </w:p>
    <w:p w14:paraId="0000011E">
      <w:pPr>
        <w:pStyle w:val="Footnotetext"/>
        <w:spacing w:line="360" w:lineRule="auto"/>
        <w:rPr>
          <w:rFonts w:ascii="Times New Roman" w:cs="Times New Roman" w:hAnsi="Times New Roman"/>
          <w:sz w:val="24"/>
          <w:szCs w:val="24"/>
        </w:rPr>
      </w:pPr>
      <w:r>
        <w:rPr>
          <w:rFonts w:ascii="Times New Roman" w:cs="Times New Roman" w:hAnsi="Times New Roman"/>
          <w:sz w:val="24"/>
          <w:szCs w:val="24"/>
          <w:vertAlign w:val="superscript"/>
        </w:rPr>
        <w:t>3</w:t>
      </w:r>
      <w:r>
        <w:rPr>
          <w:rFonts w:ascii="Times New Roman" w:cs="Times New Roman" w:hAnsi="Times New Roman"/>
          <w:sz w:val="24"/>
          <w:szCs w:val="24"/>
        </w:rPr>
        <w:t>stud0000262142@study.utmn.ru, https://orcid.org/0009-0006-5573-8450</w:t>
      </w:r>
    </w:p>
    <w:p w14:paraId="0000011F">
      <w:pPr>
        <w:pStyle w:val="Footnotetext"/>
        <w:spacing w:line="360" w:lineRule="auto"/>
        <w:rPr>
          <w:rFonts w:ascii="Times New Roman" w:cs="Times New Roman" w:hAnsi="Times New Roman"/>
          <w:sz w:val="24"/>
          <w:szCs w:val="24"/>
        </w:rPr>
      </w:pPr>
    </w:p>
    <w:p w14:paraId="00000120">
      <w:pPr>
        <w:pStyle w:val="Footnotetext"/>
        <w:spacing w:after="240"/>
        <w:rPr>
          <w:rFonts w:ascii="Times New Roman" w:cs="Times New Roman" w:hAnsi="Times New Roman"/>
          <w:sz w:val="28"/>
          <w:szCs w:val="28"/>
          <w:lang w:val="en-US"/>
        </w:rPr>
      </w:pPr>
      <w:r>
        <w:rPr>
          <w:rFonts w:ascii="Times New Roman" w:cs="Times New Roman" w:hAnsi="Times New Roman"/>
          <w:sz w:val="28"/>
          <w:szCs w:val="28"/>
          <w:lang w:val="en-US"/>
        </w:rPr>
        <w:t>AUTHORS</w:t>
      </w:r>
    </w:p>
    <w:p w14:paraId="00000121">
      <w:pPr>
        <w:pStyle w:val="Footnotetext"/>
        <w:rPr>
          <w:rFonts w:ascii="Times New Roman" w:cs="Times New Roman" w:hAnsi="Times New Roman"/>
          <w:sz w:val="24"/>
          <w:szCs w:val="24"/>
          <w:lang w:val="en-US"/>
        </w:rPr>
      </w:pPr>
      <w:r>
        <w:rPr>
          <w:rFonts w:ascii="Times New Roman" w:cs="Times New Roman" w:hAnsi="Times New Roman"/>
          <w:sz w:val="24"/>
          <w:szCs w:val="24"/>
          <w:lang w:val="en-US"/>
        </w:rPr>
        <w:t xml:space="preserve">Natalia N. Belozyorova – Doctor of Philology, Professor, Professor of the Department of Applied and Theoretical Linguistics, Institute of Social Sciences and Humanities, University of Tyumen (6 </w:t>
      </w:r>
      <w:r>
        <w:rPr>
          <w:rFonts w:ascii="Times New Roman" w:cs="Times New Roman" w:hAnsi="Times New Roman"/>
          <w:sz w:val="24"/>
          <w:szCs w:val="24"/>
          <w:lang w:val="en-US"/>
        </w:rPr>
        <w:t>Volodarskogo</w:t>
      </w:r>
      <w:r>
        <w:rPr>
          <w:rFonts w:ascii="Times New Roman" w:cs="Times New Roman" w:hAnsi="Times New Roman"/>
          <w:sz w:val="24"/>
          <w:szCs w:val="24"/>
          <w:lang w:val="en-US"/>
        </w:rPr>
        <w:t xml:space="preserve"> St, Tyumen, 625003, Russia), n.n.belozerova@utmn.ru, https://orcid.org/0000-0003-0892-7380</w:t>
      </w:r>
    </w:p>
    <w:p w14:paraId="00000122">
      <w:pPr>
        <w:pStyle w:val="Footnotetext"/>
        <w:rPr>
          <w:rFonts w:ascii="Times New Roman" w:cs="Times New Roman" w:hAnsi="Times New Roman"/>
          <w:sz w:val="24"/>
          <w:szCs w:val="24"/>
          <w:lang w:val="en-US"/>
        </w:rPr>
      </w:pPr>
    </w:p>
    <w:p w14:paraId="00000123">
      <w:pPr>
        <w:pStyle w:val="Footnotetext"/>
        <w:rPr>
          <w:rFonts w:ascii="Times New Roman" w:cs="Times New Roman" w:hAnsi="Times New Roman"/>
          <w:sz w:val="24"/>
          <w:szCs w:val="24"/>
          <w:lang w:val="en-US"/>
        </w:rPr>
      </w:pPr>
      <w:r>
        <w:rPr>
          <w:rFonts w:ascii="Times New Roman" w:cs="Times New Roman" w:hAnsi="Times New Roman"/>
          <w:sz w:val="24"/>
          <w:szCs w:val="24"/>
          <w:lang w:val="en-US"/>
        </w:rPr>
        <w:t>Anna V. Gabrielyan¹, Mikhail A. Voronkov², Polina A. Zimens³</w:t>
      </w:r>
    </w:p>
    <w:p w14:paraId="00000124">
      <w:pPr>
        <w:pStyle w:val="Footnotetext"/>
        <w:rPr>
          <w:rFonts w:ascii="Times New Roman" w:cs="Times New Roman" w:hAnsi="Times New Roman"/>
          <w:sz w:val="24"/>
          <w:szCs w:val="24"/>
          <w:lang w:val="en-US"/>
        </w:rPr>
      </w:pPr>
      <w:r>
        <w:rPr>
          <w:rFonts w:ascii="Times New Roman" w:cs="Times New Roman" w:hAnsi="Times New Roman"/>
          <w:sz w:val="24"/>
          <w:szCs w:val="24"/>
          <w:lang w:val="en-US"/>
        </w:rPr>
        <w:t>¹</w:t>
      </w:r>
      <w:r>
        <w:rPr>
          <w:rFonts w:ascii="Times New Roman" w:cs="Times New Roman" w:hAnsi="Times New Roman"/>
          <w:sz w:val="24"/>
          <w:szCs w:val="24"/>
          <w:lang w:val="en-US"/>
        </w:rPr>
        <w:t>`</w:t>
      </w:r>
      <w:r>
        <w:rPr>
          <w:rFonts w:ascii="Times New Roman" w:cs="Times New Roman" w:hAnsi="Times New Roman"/>
          <w:sz w:val="24"/>
          <w:szCs w:val="24"/>
          <w:lang w:val="en-US"/>
        </w:rPr>
        <w:t>²</w:t>
      </w:r>
      <w:r>
        <w:rPr>
          <w:rFonts w:ascii="Times New Roman" w:cs="Times New Roman" w:hAnsi="Times New Roman"/>
          <w:sz w:val="24"/>
          <w:szCs w:val="24"/>
          <w:lang w:val="en-US"/>
        </w:rPr>
        <w:t>`</w:t>
      </w:r>
      <w:r>
        <w:rPr>
          <w:rFonts w:ascii="Times New Roman" w:cs="Times New Roman" w:hAnsi="Times New Roman"/>
          <w:sz w:val="24"/>
          <w:szCs w:val="24"/>
          <w:lang w:val="en-US"/>
        </w:rPr>
        <w:t xml:space="preserve">³ Institute of Social Sciences and Humanities, University of Tyumen (6 </w:t>
      </w:r>
      <w:r>
        <w:rPr>
          <w:rFonts w:ascii="Times New Roman" w:cs="Times New Roman" w:hAnsi="Times New Roman"/>
          <w:sz w:val="24"/>
          <w:szCs w:val="24"/>
          <w:lang w:val="en-US"/>
        </w:rPr>
        <w:t>Volodarskogo</w:t>
      </w:r>
      <w:r>
        <w:rPr>
          <w:rFonts w:ascii="Times New Roman" w:cs="Times New Roman" w:hAnsi="Times New Roman"/>
          <w:sz w:val="24"/>
          <w:szCs w:val="24"/>
          <w:lang w:val="en-US"/>
        </w:rPr>
        <w:t xml:space="preserve"> St, Tyumen, 625003, Russia)</w:t>
      </w:r>
    </w:p>
    <w:p w14:paraId="00000125">
      <w:pPr>
        <w:pStyle w:val="Footnotetext"/>
        <w:rPr>
          <w:rFonts w:ascii="Times New Roman" w:cs="Times New Roman" w:hAnsi="Times New Roman"/>
          <w:sz w:val="24"/>
          <w:szCs w:val="24"/>
          <w:lang w:val="en-US"/>
        </w:rPr>
      </w:pPr>
      <w:r>
        <w:rPr>
          <w:rFonts w:ascii="Times New Roman" w:cs="Times New Roman" w:hAnsi="Times New Roman"/>
          <w:sz w:val="24"/>
          <w:szCs w:val="24"/>
          <w:lang w:val="en-US"/>
        </w:rPr>
        <w:t>¹ stud0000220942@study.utmn.ru, https://orcid.org/0009-0000-1604-9720</w:t>
      </w:r>
    </w:p>
    <w:p w14:paraId="00000126">
      <w:pPr>
        <w:pStyle w:val="Footnotetext"/>
        <w:rPr>
          <w:rFonts w:ascii="Times New Roman" w:cs="Times New Roman" w:hAnsi="Times New Roman"/>
          <w:sz w:val="24"/>
          <w:szCs w:val="24"/>
          <w:lang w:val="en-US"/>
        </w:rPr>
      </w:pPr>
      <w:r>
        <w:rPr>
          <w:rFonts w:ascii="Times New Roman" w:cs="Times New Roman" w:hAnsi="Times New Roman"/>
          <w:sz w:val="24"/>
          <w:szCs w:val="24"/>
          <w:lang w:val="en-US"/>
        </w:rPr>
        <w:t>² stud0000263093@study.utmn.ru, https://orcid.org/0009-0004-1523-2135</w:t>
      </w:r>
    </w:p>
    <w:p w14:paraId="00000127">
      <w:pPr>
        <w:pStyle w:val="Footnotetext"/>
        <w:rPr>
          <w:rFonts w:ascii="Times New Roman" w:cs="Times New Roman" w:hAnsi="Times New Roman"/>
          <w:sz w:val="24"/>
          <w:szCs w:val="24"/>
          <w:lang w:val="en-US"/>
        </w:rPr>
      </w:pPr>
      <w:r>
        <w:rPr>
          <w:rFonts w:ascii="Times New Roman" w:cs="Times New Roman" w:hAnsi="Times New Roman"/>
          <w:sz w:val="24"/>
          <w:szCs w:val="24"/>
          <w:lang w:val="en-US"/>
        </w:rPr>
        <w:t>³ stud0000262142@study.utmn.ru, https://orcid.org/0009-0006-5573-8450</w:t>
      </w:r>
    </w:p>
    <w:sectPr>
      <w:pgSz w:w="11906" w:h="16838"/>
      <w:pgMar w:top="1134" w:right="850" w:bottom="1134" w:left="170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endnote w:type="separator" w:id="0">
    <w:p w14:paraId="00000031">
      <w:pPr>
        <w:spacing w:after="0" w:line="240" w:lineRule="auto"/>
        <w:rPr/>
      </w:pPr>
      <w:r>
        <w:rPr/>
        <w:separator/>
      </w:r>
    </w:p>
  </w:endnote>
  <w:endnote w:type="continuationSeparator" w:id="1">
    <w:p w14:paraId="00000032">
      <w:pPr>
        <w:spacing w:after="0" w:line="240" w:lineRule="auto"/>
        <w:rPr/>
      </w:pPr>
      <w:r>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00000000" w:csb1="00000000"/>
  </w:font>
  <w:font w:name="Times New Roman">
    <w:panose1 w:val="02020603050405020304"/>
    <w:charset w:val="cc"/>
    <w:family w:val="roman"/>
    <w:pitch w:val="variable"/>
    <w:sig w:usb0="00000000" w:usb1="00000000" w:usb2="00000009" w:usb3="00000000" w:csb0="000001ff" w:csb1="00000000"/>
  </w:font>
  <w:font w:name="Courier New">
    <w:panose1 w:val="02070309020205020404"/>
    <w:charset w:val="cc"/>
    <w:family w:val="modern"/>
    <w:pitch w:val="fixed"/>
    <w:sig w:usb0="00000000" w:usb1="00000000" w:usb2="00000009" w:usb3="00000000" w:csb0="000001ff" w:csb1="00000000"/>
  </w:font>
  <w:font w:name="Wingdings">
    <w:panose1 w:val="05000000000000000000"/>
    <w:charset w:val="02"/>
    <w:family w:val="auto"/>
    <w:pitch w:val="variable"/>
    <w:sig w:usb0="00000000" w:usb1="10000000" w:usb2="00000000" w:usb3="00000000" w:csb0="00000000" w:csb1="00000000"/>
  </w:font>
  <w:font w:name="Calibri">
    <w:panose1 w:val="020f0502020204030204"/>
    <w:charset w:val="cc"/>
    <w:family w:val="swiss"/>
    <w:pitch w:val="variable"/>
    <w:sig w:usb0="00000000" w:usb1="00000000" w:usb2="00000009" w:usb3="00000000" w:csb0="000001ff" w:csb1="00000000"/>
  </w:font>
  <w:font w:name="Calibri Light">
    <w:panose1 w:val="020f0302020204030204"/>
    <w:charset w:val="cc"/>
    <w:family w:val="swiss"/>
    <w:pitch w:val="variable"/>
    <w:sig w:usb0="00000000" w:usb1="00000000" w:usb2="00000009" w:usb3="00000000" w:csb0="000001ff" w:csb1="00000000"/>
  </w:font>
  <w:font w:name="Arial">
    <w:panose1 w:val="020b0604020202020204"/>
    <w:charset w:val="cc"/>
    <w:family w:val="swiss"/>
    <w:pitch w:val="variable"/>
    <w:sig w:usb0="00000000" w:usb1="00000000"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Helvetica Neue">
    <w:charset w:val="00"/>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footnote w:type="separator" w:id="0">
    <w:p w14:paraId="00000001">
      <w:pPr>
        <w:spacing w:after="0" w:line="240" w:lineRule="auto"/>
        <w:rPr/>
      </w:pPr>
      <w:r>
        <w:rPr/>
        <w:separator/>
      </w:r>
    </w:p>
  </w:footnote>
  <w:footnote w:type="continuationSeparator" w:id="1">
    <w:p w14:paraId="00000002">
      <w:pPr>
        <w:spacing w:after="0" w:line="240" w:lineRule="auto"/>
        <w:rPr/>
      </w:pPr>
      <w:r>
        <w:rPr/>
        <w:continuationSeparator/>
      </w:r>
    </w:p>
  </w:footnote>
  <w:footnote w:id="2">
    <w:p w14:paraId="00000003">
      <w:pPr>
        <w:spacing w:line="240" w:lineRule="auto"/>
        <w:rPr>
          <w:rFonts w:ascii="Times New Roman" w:cs="Times New Roman" w:hAnsi="Times New Roman"/>
          <w:sz w:val="20"/>
          <w:szCs w:val="20"/>
        </w:rPr>
      </w:pPr>
      <w:r>
        <w:rPr>
          <w:rStyle w:val="Footnotereference"/>
        </w:rPr>
        <w:footnoteRef/>
      </w:r>
      <w:r>
        <w:t xml:space="preserve"> </w:t>
      </w:r>
      <w:r>
        <w:rPr>
          <w:rFonts w:ascii="Times New Roman" w:cs="Times New Roman" w:hAnsi="Times New Roman"/>
          <w:sz w:val="20"/>
          <w:szCs w:val="20"/>
        </w:rPr>
        <w:t>ИНСТРУМЕНТЫ ИИ ДЛЯ ОБРАБОТКИ ЛИНГВИСТИЧЕСКИХ ДАННЫХ</w:t>
      </w:r>
    </w:p>
    <w:p w14:paraId="00000004">
      <w:pPr>
        <w:spacing w:line="240" w:lineRule="auto"/>
        <w:rPr>
          <w:rFonts w:ascii="Times New Roman" w:cs="Times New Roman" w:hAnsi="Times New Roman"/>
          <w:sz w:val="20"/>
          <w:szCs w:val="20"/>
        </w:rPr>
      </w:pPr>
      <w:r>
        <w:rPr>
          <w:rFonts w:ascii="Times New Roman" w:cs="Times New Roman" w:hAnsi="Times New Roman"/>
          <w:sz w:val="20"/>
          <w:szCs w:val="20"/>
        </w:rPr>
        <w:t xml:space="preserve">Инструмент ИИ \Возможные языковые единицы\ </w:t>
      </w:r>
      <w:r>
        <w:rPr>
          <w:rFonts w:ascii="Times New Roman" w:cs="Times New Roman" w:hAnsi="Times New Roman"/>
          <w:sz w:val="20"/>
          <w:szCs w:val="20"/>
        </w:rPr>
        <w:t>Промпт</w:t>
      </w:r>
    </w:p>
    <w:p w14:paraId="00000005">
      <w:pPr>
        <w:spacing w:line="240" w:lineRule="auto"/>
        <w:rPr>
          <w:rFonts w:ascii="Times New Roman" w:cs="Times New Roman" w:hAnsi="Times New Roman"/>
          <w:sz w:val="20"/>
          <w:szCs w:val="20"/>
        </w:rPr>
      </w:pPr>
      <w:r>
        <w:rPr>
          <w:rFonts w:ascii="Times New Roman" w:cs="Times New Roman" w:hAnsi="Times New Roman"/>
          <w:sz w:val="20"/>
          <w:szCs w:val="20"/>
        </w:rPr>
        <w:t>ИНСТРУМЕНТЫ NLP</w:t>
      </w:r>
    </w:p>
    <w:p w14:paraId="00000006">
      <w:pPr>
        <w:spacing w:line="240" w:lineRule="auto"/>
        <w:rPr>
          <w:rFonts w:ascii="Times New Roman" w:cs="Times New Roman" w:hAnsi="Times New Roman"/>
          <w:sz w:val="20"/>
          <w:szCs w:val="20"/>
        </w:rPr>
      </w:pPr>
      <w:r>
        <w:rPr>
          <w:rFonts w:ascii="Times New Roman" w:cs="Times New Roman" w:hAnsi="Times New Roman"/>
          <w:sz w:val="20"/>
          <w:szCs w:val="20"/>
        </w:rPr>
        <w:t>1 Токенизация Слова/Предложения/</w:t>
      </w:r>
      <w:r>
        <w:rPr>
          <w:rFonts w:ascii="Times New Roman" w:cs="Times New Roman" w:hAnsi="Times New Roman"/>
          <w:sz w:val="20"/>
          <w:szCs w:val="20"/>
        </w:rPr>
        <w:t>Тексты</w:t>
      </w:r>
      <w:r>
        <w:rPr>
          <w:rFonts w:ascii="Times New Roman" w:cs="Times New Roman" w:hAnsi="Times New Roman"/>
          <w:sz w:val="20"/>
          <w:szCs w:val="20"/>
        </w:rPr>
        <w:t xml:space="preserve"> Как можно токенизировать слово+ W (…)?</w:t>
      </w:r>
    </w:p>
    <w:p w14:paraId="00000007">
      <w:pPr>
        <w:spacing w:line="240" w:lineRule="auto"/>
        <w:rPr>
          <w:rFonts w:ascii="Times New Roman" w:cs="Times New Roman" w:hAnsi="Times New Roman"/>
          <w:sz w:val="20"/>
          <w:szCs w:val="20"/>
        </w:rPr>
      </w:pPr>
      <w:r>
        <w:rPr>
          <w:rFonts w:ascii="Times New Roman" w:cs="Times New Roman" w:hAnsi="Times New Roman"/>
          <w:sz w:val="20"/>
          <w:szCs w:val="20"/>
        </w:rPr>
        <w:t xml:space="preserve">2 </w:t>
      </w:r>
      <w:r>
        <w:rPr>
          <w:rFonts w:ascii="Times New Roman" w:cs="Times New Roman" w:hAnsi="Times New Roman"/>
          <w:sz w:val="20"/>
          <w:szCs w:val="20"/>
        </w:rPr>
        <w:t>Стемминг</w:t>
      </w:r>
      <w:r>
        <w:rPr>
          <w:rFonts w:ascii="Times New Roman" w:cs="Times New Roman" w:hAnsi="Times New Roman"/>
          <w:sz w:val="20"/>
          <w:szCs w:val="20"/>
        </w:rPr>
        <w:t>/</w:t>
      </w:r>
      <w:r>
        <w:rPr>
          <w:rFonts w:ascii="Times New Roman" w:cs="Times New Roman" w:hAnsi="Times New Roman"/>
          <w:sz w:val="20"/>
          <w:szCs w:val="20"/>
        </w:rPr>
        <w:t>лемматизация</w:t>
      </w:r>
      <w:r>
        <w:rPr>
          <w:rFonts w:ascii="Times New Roman" w:cs="Times New Roman" w:hAnsi="Times New Roman"/>
          <w:sz w:val="20"/>
          <w:szCs w:val="20"/>
        </w:rPr>
        <w:t xml:space="preserve"> Набор слов Можете ли вы продемонстрировать, какие слова подлежат </w:t>
      </w:r>
      <w:r>
        <w:rPr>
          <w:rFonts w:ascii="Times New Roman" w:cs="Times New Roman" w:hAnsi="Times New Roman"/>
          <w:sz w:val="20"/>
          <w:szCs w:val="20"/>
        </w:rPr>
        <w:t>стеммингу</w:t>
      </w:r>
      <w:r>
        <w:rPr>
          <w:rFonts w:ascii="Times New Roman" w:cs="Times New Roman" w:hAnsi="Times New Roman"/>
          <w:sz w:val="20"/>
          <w:szCs w:val="20"/>
        </w:rPr>
        <w:t xml:space="preserve">, а какие — только </w:t>
      </w:r>
      <w:r>
        <w:rPr>
          <w:rFonts w:ascii="Times New Roman" w:cs="Times New Roman" w:hAnsi="Times New Roman"/>
          <w:sz w:val="20"/>
          <w:szCs w:val="20"/>
        </w:rPr>
        <w:t>лемматизации</w:t>
      </w:r>
      <w:r>
        <w:rPr>
          <w:rFonts w:ascii="Times New Roman" w:cs="Times New Roman" w:hAnsi="Times New Roman"/>
          <w:sz w:val="20"/>
          <w:szCs w:val="20"/>
        </w:rPr>
        <w:t xml:space="preserve"> (и почему)?</w:t>
      </w:r>
    </w:p>
    <w:p w14:paraId="00000008">
      <w:pPr>
        <w:spacing w:line="240" w:lineRule="auto"/>
        <w:rPr>
          <w:rFonts w:ascii="Times New Roman" w:cs="Times New Roman" w:hAnsi="Times New Roman"/>
          <w:sz w:val="20"/>
          <w:szCs w:val="20"/>
        </w:rPr>
      </w:pPr>
      <w:r>
        <w:rPr>
          <w:rFonts w:ascii="Times New Roman" w:cs="Times New Roman" w:hAnsi="Times New Roman"/>
          <w:sz w:val="20"/>
          <w:szCs w:val="20"/>
        </w:rPr>
        <w:t xml:space="preserve">3 Синтаксический анализ </w:t>
      </w:r>
      <w:r>
        <w:rPr>
          <w:rFonts w:ascii="Times New Roman" w:cs="Times New Roman" w:hAnsi="Times New Roman"/>
          <w:sz w:val="20"/>
          <w:szCs w:val="20"/>
        </w:rPr>
        <w:t>текстов</w:t>
      </w:r>
      <w:r>
        <w:rPr>
          <w:rFonts w:ascii="Times New Roman" w:cs="Times New Roman" w:hAnsi="Times New Roman"/>
          <w:sz w:val="20"/>
          <w:szCs w:val="20"/>
        </w:rPr>
        <w:t xml:space="preserve"> Можете ли вы проанализировать следующий текст (вставьте свой текст)?</w:t>
      </w:r>
    </w:p>
    <w:p w14:paraId="00000009">
      <w:pPr>
        <w:spacing w:line="240" w:lineRule="auto"/>
        <w:rPr>
          <w:rFonts w:ascii="Times New Roman" w:cs="Times New Roman" w:hAnsi="Times New Roman"/>
          <w:sz w:val="20"/>
          <w:szCs w:val="20"/>
        </w:rPr>
      </w:pPr>
      <w:r>
        <w:rPr>
          <w:rFonts w:ascii="Times New Roman" w:cs="Times New Roman" w:hAnsi="Times New Roman"/>
          <w:sz w:val="20"/>
          <w:szCs w:val="20"/>
        </w:rPr>
        <w:t>4 Разметка частей речи (</w:t>
      </w:r>
      <w:r>
        <w:rPr>
          <w:rFonts w:ascii="Times New Roman" w:cs="Times New Roman" w:hAnsi="Times New Roman"/>
          <w:sz w:val="20"/>
          <w:szCs w:val="20"/>
        </w:rPr>
        <w:t>PoS</w:t>
      </w:r>
      <w:r>
        <w:rPr>
          <w:rFonts w:ascii="Times New Roman" w:cs="Times New Roman" w:hAnsi="Times New Roman"/>
          <w:sz w:val="20"/>
          <w:szCs w:val="20"/>
        </w:rPr>
        <w:t xml:space="preserve">) </w:t>
      </w:r>
      <w:r>
        <w:rPr>
          <w:rFonts w:ascii="Times New Roman" w:cs="Times New Roman" w:hAnsi="Times New Roman"/>
          <w:sz w:val="20"/>
          <w:szCs w:val="20"/>
        </w:rPr>
        <w:t>Тексты</w:t>
      </w:r>
      <w:r>
        <w:rPr>
          <w:rFonts w:ascii="Times New Roman" w:cs="Times New Roman" w:hAnsi="Times New Roman"/>
          <w:sz w:val="20"/>
          <w:szCs w:val="20"/>
        </w:rPr>
        <w:t xml:space="preserve"> Не могли бы вы выполнить </w:t>
      </w:r>
      <w:r>
        <w:rPr>
          <w:rFonts w:ascii="Times New Roman" w:cs="Times New Roman" w:hAnsi="Times New Roman"/>
          <w:sz w:val="20"/>
          <w:szCs w:val="20"/>
        </w:rPr>
        <w:t>PoS</w:t>
      </w:r>
      <w:r>
        <w:rPr>
          <w:rFonts w:ascii="Times New Roman" w:cs="Times New Roman" w:hAnsi="Times New Roman"/>
          <w:sz w:val="20"/>
          <w:szCs w:val="20"/>
        </w:rPr>
        <w:t>-разметку этого текста (вставьте свой текст)?</w:t>
      </w:r>
    </w:p>
    <w:p w14:paraId="0000000A">
      <w:pPr>
        <w:spacing w:line="240" w:lineRule="auto"/>
        <w:rPr>
          <w:rFonts w:ascii="Times New Roman" w:cs="Times New Roman" w:hAnsi="Times New Roman"/>
          <w:sz w:val="20"/>
          <w:szCs w:val="20"/>
        </w:rPr>
      </w:pPr>
      <w:r>
        <w:rPr>
          <w:rFonts w:ascii="Times New Roman" w:cs="Times New Roman" w:hAnsi="Times New Roman"/>
          <w:sz w:val="20"/>
          <w:szCs w:val="20"/>
        </w:rPr>
        <w:t>5 Анализ тональности Текст(ы</w:t>
      </w:r>
      <w:r>
        <w:rPr>
          <w:rFonts w:ascii="Times New Roman" w:cs="Times New Roman" w:hAnsi="Times New Roman"/>
          <w:sz w:val="20"/>
          <w:szCs w:val="20"/>
        </w:rPr>
        <w:t>)</w:t>
      </w:r>
      <w:r>
        <w:rPr>
          <w:rFonts w:ascii="Times New Roman" w:cs="Times New Roman" w:hAnsi="Times New Roman"/>
          <w:sz w:val="20"/>
          <w:szCs w:val="20"/>
        </w:rPr>
        <w:t xml:space="preserve"> Не могли бы вы выполнить анализ тональности этих комментариев (ВСТАВЬТЕ КОММЕНТАРИИ)?</w:t>
      </w:r>
    </w:p>
    <w:p w14:paraId="0000000B">
      <w:pPr>
        <w:spacing w:line="240" w:lineRule="auto"/>
        <w:rPr>
          <w:rFonts w:ascii="Times New Roman" w:cs="Times New Roman" w:hAnsi="Times New Roman"/>
          <w:sz w:val="20"/>
          <w:szCs w:val="20"/>
        </w:rPr>
      </w:pPr>
      <w:r>
        <w:rPr>
          <w:rFonts w:ascii="Times New Roman" w:cs="Times New Roman" w:hAnsi="Times New Roman"/>
          <w:sz w:val="20"/>
          <w:szCs w:val="20"/>
        </w:rPr>
        <w:t xml:space="preserve">6 Определение типа текста </w:t>
      </w:r>
      <w:r>
        <w:rPr>
          <w:rFonts w:ascii="Times New Roman" w:cs="Times New Roman" w:hAnsi="Times New Roman"/>
          <w:sz w:val="20"/>
          <w:szCs w:val="20"/>
        </w:rPr>
        <w:t>Текст</w:t>
      </w:r>
      <w:r>
        <w:rPr>
          <w:rFonts w:ascii="Times New Roman" w:cs="Times New Roman" w:hAnsi="Times New Roman"/>
          <w:sz w:val="20"/>
          <w:szCs w:val="20"/>
        </w:rPr>
        <w:t xml:space="preserve"> Не могли бы вы определить этот тип текста (вставьте свой текст)? II ИНСТРУМЕНТЫ ТРАНСФОРМАЦИИ</w:t>
      </w:r>
    </w:p>
    <w:p w14:paraId="0000000C">
      <w:pPr>
        <w:spacing w:line="240" w:lineRule="auto"/>
        <w:rPr>
          <w:rFonts w:ascii="Times New Roman" w:cs="Times New Roman" w:hAnsi="Times New Roman"/>
          <w:sz w:val="20"/>
          <w:szCs w:val="20"/>
        </w:rPr>
      </w:pPr>
      <w:r>
        <w:rPr>
          <w:rFonts w:ascii="Times New Roman" w:cs="Times New Roman" w:hAnsi="Times New Roman"/>
          <w:sz w:val="20"/>
          <w:szCs w:val="20"/>
        </w:rPr>
        <w:t>7/8/9 Внимание</w:t>
      </w:r>
    </w:p>
    <w:p w14:paraId="0000000D">
      <w:pPr>
        <w:spacing w:line="240" w:lineRule="auto"/>
        <w:rPr>
          <w:rFonts w:ascii="Times New Roman" w:cs="Times New Roman" w:hAnsi="Times New Roman"/>
          <w:sz w:val="20"/>
          <w:szCs w:val="20"/>
        </w:rPr>
      </w:pPr>
      <w:r>
        <w:rPr>
          <w:rFonts w:ascii="Times New Roman" w:cs="Times New Roman" w:hAnsi="Times New Roman"/>
          <w:sz w:val="20"/>
          <w:szCs w:val="20"/>
        </w:rPr>
        <w:t>/внутреннее внимание</w:t>
      </w:r>
    </w:p>
    <w:p w14:paraId="0000000E">
      <w:pPr>
        <w:spacing w:line="240" w:lineRule="auto"/>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многонаправленное</w:t>
      </w:r>
      <w:r>
        <w:rPr>
          <w:rFonts w:ascii="Times New Roman" w:cs="Times New Roman" w:hAnsi="Times New Roman"/>
          <w:sz w:val="20"/>
          <w:szCs w:val="20"/>
        </w:rPr>
        <w:t xml:space="preserve"> внимание Предложение/Текст Можете ли вы продемонстрировать, как внимание/внутреннее внимание/</w:t>
      </w:r>
      <w:r>
        <w:rPr>
          <w:rFonts w:ascii="Times New Roman" w:cs="Times New Roman" w:hAnsi="Times New Roman"/>
          <w:sz w:val="20"/>
          <w:szCs w:val="20"/>
        </w:rPr>
        <w:t>многонаправленное</w:t>
      </w:r>
      <w:r>
        <w:rPr>
          <w:rFonts w:ascii="Times New Roman" w:cs="Times New Roman" w:hAnsi="Times New Roman"/>
          <w:sz w:val="20"/>
          <w:szCs w:val="20"/>
        </w:rPr>
        <w:t xml:space="preserve"> внимание работает на этом предложении/тексте (вставьте свой текст или предложение)?</w:t>
      </w:r>
    </w:p>
    <w:p w14:paraId="0000000F">
      <w:pPr>
        <w:spacing w:line="240" w:lineRule="auto"/>
        <w:rPr>
          <w:rFonts w:ascii="Times New Roman" w:cs="Times New Roman" w:hAnsi="Times New Roman"/>
          <w:sz w:val="20"/>
          <w:szCs w:val="20"/>
        </w:rPr>
      </w:pPr>
      <w:r>
        <w:rPr>
          <w:rFonts w:ascii="Times New Roman" w:cs="Times New Roman" w:hAnsi="Times New Roman"/>
          <w:sz w:val="20"/>
          <w:szCs w:val="20"/>
        </w:rPr>
        <w:t>III ИНСТРУМЕНТЫ МОДЕЛЕЙ РАССУЖДЕНИЯ</w:t>
      </w:r>
    </w:p>
    <w:p w14:paraId="00000010">
      <w:pPr>
        <w:spacing w:line="240" w:lineRule="auto"/>
        <w:rPr>
          <w:rFonts w:ascii="Times New Roman" w:cs="Times New Roman" w:hAnsi="Times New Roman"/>
          <w:sz w:val="20"/>
          <w:szCs w:val="20"/>
        </w:rPr>
      </w:pPr>
      <w:r>
        <w:rPr>
          <w:rFonts w:ascii="Times New Roman" w:cs="Times New Roman" w:hAnsi="Times New Roman"/>
          <w:sz w:val="20"/>
          <w:szCs w:val="20"/>
        </w:rPr>
        <w:t xml:space="preserve">10 Рассуждение, основанное на правилах </w:t>
      </w:r>
      <w:r>
        <w:rPr>
          <w:rFonts w:ascii="Times New Roman" w:cs="Times New Roman" w:hAnsi="Times New Roman"/>
          <w:sz w:val="20"/>
          <w:szCs w:val="20"/>
        </w:rPr>
        <w:t>Текст</w:t>
      </w:r>
      <w:r>
        <w:rPr>
          <w:rFonts w:ascii="Times New Roman" w:cs="Times New Roman" w:hAnsi="Times New Roman"/>
          <w:sz w:val="20"/>
          <w:szCs w:val="20"/>
        </w:rPr>
        <w:t xml:space="preserve"> Можете ли вы продемонстрировать, как рассуждение, основанное на правилах, работает на этом тексте (вставьте свой текст)?</w:t>
      </w:r>
    </w:p>
    <w:p w14:paraId="00000011">
      <w:pPr>
        <w:spacing w:line="240" w:lineRule="auto"/>
        <w:rPr>
          <w:rFonts w:ascii="Times New Roman" w:cs="Times New Roman" w:hAnsi="Times New Roman"/>
          <w:sz w:val="20"/>
          <w:szCs w:val="20"/>
        </w:rPr>
      </w:pPr>
      <w:r>
        <w:rPr>
          <w:rFonts w:ascii="Times New Roman" w:cs="Times New Roman" w:hAnsi="Times New Roman"/>
          <w:sz w:val="20"/>
          <w:szCs w:val="20"/>
        </w:rPr>
        <w:t xml:space="preserve">11 Цепочка мыслей </w:t>
      </w:r>
      <w:r>
        <w:rPr>
          <w:rFonts w:ascii="Times New Roman" w:cs="Times New Roman" w:hAnsi="Times New Roman"/>
          <w:sz w:val="20"/>
          <w:szCs w:val="20"/>
        </w:rPr>
        <w:t>Текст</w:t>
      </w:r>
      <w:r>
        <w:rPr>
          <w:rFonts w:ascii="Times New Roman" w:cs="Times New Roman" w:hAnsi="Times New Roman"/>
          <w:sz w:val="20"/>
          <w:szCs w:val="20"/>
        </w:rPr>
        <w:t xml:space="preserve"> Можете ли вы описать цепочку мыслей этого текста (вставьте свой текст)?</w:t>
      </w:r>
    </w:p>
    <w:p w14:paraId="00000012">
      <w:pPr>
        <w:spacing w:line="240" w:lineRule="auto"/>
        <w:rPr>
          <w:rFonts w:ascii="Times New Roman" w:cs="Times New Roman" w:hAnsi="Times New Roman"/>
          <w:sz w:val="20"/>
          <w:szCs w:val="20"/>
        </w:rPr>
      </w:pPr>
      <w:r>
        <w:rPr>
          <w:rFonts w:ascii="Times New Roman" w:cs="Times New Roman" w:hAnsi="Times New Roman"/>
          <w:sz w:val="20"/>
          <w:szCs w:val="20"/>
        </w:rPr>
        <w:t xml:space="preserve">12 Графы знаний </w:t>
      </w:r>
      <w:r>
        <w:rPr>
          <w:rFonts w:ascii="Times New Roman" w:cs="Times New Roman" w:hAnsi="Times New Roman"/>
          <w:sz w:val="20"/>
          <w:szCs w:val="20"/>
        </w:rPr>
        <w:t>Текст</w:t>
      </w:r>
      <w:r>
        <w:rPr>
          <w:rFonts w:ascii="Times New Roman" w:cs="Times New Roman" w:hAnsi="Times New Roman"/>
          <w:sz w:val="20"/>
          <w:szCs w:val="20"/>
        </w:rPr>
        <w:t xml:space="preserve"> Построите ли вы граф(ы) знаний этого текста (вставьте свой текст)?</w:t>
      </w:r>
    </w:p>
    <w:p w14:paraId="00000013">
      <w:pPr>
        <w:pStyle w:val="Footnotetext"/>
        <w:rPr>
          <w:rFonts w:ascii="Times New Roman" w:cs="Times New Roman" w:hAnsi="Times New Roman"/>
        </w:rPr>
      </w:pPr>
    </w:p>
  </w:footnote>
  <w:footnote w:id="3">
    <w:p w14:paraId="00000014">
      <w:pPr>
        <w:pStyle w:val="Footnotetext"/>
        <w:rPr>
          <w:lang w:val="en-US"/>
        </w:rPr>
      </w:pPr>
      <w:r>
        <w:rPr>
          <w:rStyle w:val="Footnotereference"/>
        </w:rPr>
        <w:footnoteRef/>
      </w:r>
      <w:r>
        <w:rPr>
          <w:lang w:val="en-US"/>
        </w:rPr>
        <w:t xml:space="preserve"> </w:t>
      </w:r>
      <w:r>
        <w:rPr>
          <w:rFonts w:ascii="Times New Roman" w:cs="Times New Roman" w:hAnsi="Times New Roman"/>
          <w:i/>
          <w:iCs/>
          <w:lang w:val="en-US"/>
        </w:rPr>
        <w:t>Semiotics for Beginners</w:t>
      </w:r>
      <w:r>
        <w:rPr>
          <w:rFonts w:ascii="Times New Roman" w:cs="Times New Roman" w:hAnsi="Times New Roman"/>
          <w:lang w:val="en-US"/>
        </w:rPr>
        <w:t xml:space="preserve"> by Daniel Chandler https://share.google/Md73S8LEmRIkvrPeB</w:t>
      </w:r>
    </w:p>
  </w:footnote>
  <w:footnote w:id="4">
    <w:p w14:paraId="00000015">
      <w:pPr>
        <w:pStyle w:val="Footnotetext"/>
        <w:rPr>
          <w:lang w:val="en-US"/>
        </w:rPr>
      </w:pPr>
      <w:r>
        <w:rPr>
          <w:rStyle w:val="Footnotereference"/>
        </w:rPr>
        <w:footnoteRef/>
      </w:r>
      <w:r>
        <w:rPr>
          <w:lang w:val="en-US"/>
        </w:rPr>
        <w:t xml:space="preserve"> </w:t>
      </w:r>
      <w:r>
        <w:rPr>
          <w:rFonts w:ascii="Times New Roman" w:cs="Times New Roman" w:hAnsi="Times New Roman"/>
          <w:lang w:val="en-US"/>
        </w:rPr>
        <w:t>De Beaugrande, Robert-Alain, and Wolfgang U. Dressler. </w:t>
      </w:r>
      <w:r>
        <w:rPr>
          <w:rFonts w:ascii="Times New Roman" w:cs="Times New Roman" w:hAnsi="Times New Roman"/>
          <w:i/>
          <w:iCs/>
          <w:lang w:val="en-US"/>
        </w:rPr>
        <w:t>Introduction to text linguistics</w:t>
      </w:r>
      <w:r>
        <w:rPr>
          <w:rFonts w:ascii="Times New Roman" w:cs="Times New Roman" w:hAnsi="Times New Roman"/>
          <w:lang w:val="en-US"/>
        </w:rPr>
        <w:t>. Vol. 1. London: longman, 1981.</w:t>
      </w:r>
    </w:p>
  </w:footnote>
  <w:footnote w:id="5">
    <w:p w14:paraId="00000016">
      <w:pPr>
        <w:rPr>
          <w:rFonts w:ascii="Times New Roman" w:cs="Times New Roman" w:hAnsi="Times New Roman"/>
          <w:sz w:val="20"/>
          <w:szCs w:val="20"/>
          <w:lang w:val="en-US"/>
        </w:rPr>
      </w:pPr>
      <w:r>
        <w:rPr>
          <w:rStyle w:val="Footnotereference"/>
        </w:rPr>
        <w:footnoteRef/>
      </w:r>
      <w:r>
        <w:rPr>
          <w:lang w:val="en-US"/>
        </w:rPr>
        <w:t xml:space="preserve"> </w:t>
      </w:r>
      <w:bookmarkStart w:id="0" w:name="_Hlk215741446"/>
      <w:r>
        <w:rPr>
          <w:rFonts w:ascii="Times New Roman" w:cs="Times New Roman" w:hAnsi="Times New Roman"/>
          <w:sz w:val="20"/>
          <w:szCs w:val="20"/>
          <w:lang w:val="en-US"/>
        </w:rPr>
        <w:t>Alfino, Mark. "Another look at the Derrida-Searle debate." </w:t>
      </w:r>
      <w:r>
        <w:rPr>
          <w:rFonts w:ascii="Times New Roman" w:cs="Times New Roman" w:hAnsi="Times New Roman"/>
          <w:i/>
          <w:iCs/>
          <w:sz w:val="20"/>
          <w:szCs w:val="20"/>
          <w:lang w:val="en-US"/>
        </w:rPr>
        <w:t>Philosophy &amp; Rhetoric</w:t>
      </w:r>
      <w:r>
        <w:rPr>
          <w:rFonts w:ascii="Times New Roman" w:cs="Times New Roman" w:hAnsi="Times New Roman"/>
          <w:sz w:val="20"/>
          <w:szCs w:val="20"/>
          <w:lang w:val="en-US"/>
        </w:rPr>
        <w:t> (1991): 143-152.</w:t>
      </w:r>
    </w:p>
    <w:p w14:paraId="00000017">
      <w:pPr>
        <w:rPr>
          <w:rFonts w:ascii="Times New Roman" w:cs="Times New Roman" w:hAnsi="Times New Roman"/>
          <w:sz w:val="20"/>
          <w:szCs w:val="20"/>
          <w:lang w:val="en-US"/>
        </w:rPr>
      </w:pPr>
      <w:r>
        <w:rPr>
          <w:rFonts w:ascii="Times New Roman" w:cs="Times New Roman" w:hAnsi="Times New Roman"/>
          <w:sz w:val="20"/>
          <w:szCs w:val="20"/>
          <w:lang w:val="en-US"/>
        </w:rPr>
        <w:t>Farrell, Frank B. "Iterability and Meaning: The Searle-Derrida Debate." </w:t>
      </w:r>
      <w:r>
        <w:rPr>
          <w:rFonts w:ascii="Times New Roman" w:cs="Times New Roman" w:hAnsi="Times New Roman"/>
          <w:i/>
          <w:iCs/>
          <w:sz w:val="20"/>
          <w:szCs w:val="20"/>
          <w:lang w:val="en-US"/>
        </w:rPr>
        <w:t>Metaphilosophy</w:t>
      </w:r>
      <w:r>
        <w:rPr>
          <w:rFonts w:ascii="Times New Roman" w:cs="Times New Roman" w:hAnsi="Times New Roman"/>
          <w:sz w:val="20"/>
          <w:szCs w:val="20"/>
          <w:lang w:val="en-US"/>
        </w:rPr>
        <w:t> 19.1 (1988): 53-64.</w:t>
      </w:r>
    </w:p>
    <w:p w14:paraId="00000018">
      <w:pPr>
        <w:rPr>
          <w:rFonts w:ascii="Times New Roman" w:cs="Times New Roman" w:hAnsi="Times New Roman"/>
          <w:sz w:val="20"/>
          <w:szCs w:val="20"/>
          <w:lang w:val="en-US"/>
        </w:rPr>
      </w:pPr>
      <w:r>
        <w:rPr>
          <w:rFonts w:ascii="Times New Roman" w:cs="Times New Roman" w:hAnsi="Times New Roman"/>
          <w:sz w:val="20"/>
          <w:szCs w:val="20"/>
          <w:lang w:val="en-US"/>
        </w:rPr>
        <w:t>Raffel, Stanley. "Understanding each other: The case of the Derrida-Searle debate." </w:t>
      </w:r>
      <w:r>
        <w:rPr>
          <w:rFonts w:ascii="Times New Roman" w:cs="Times New Roman" w:hAnsi="Times New Roman"/>
          <w:i/>
          <w:iCs/>
          <w:sz w:val="20"/>
          <w:szCs w:val="20"/>
          <w:lang w:val="en-US"/>
        </w:rPr>
        <w:t>Human studies</w:t>
      </w:r>
      <w:r>
        <w:rPr>
          <w:rFonts w:ascii="Times New Roman" w:cs="Times New Roman" w:hAnsi="Times New Roman"/>
          <w:sz w:val="20"/>
          <w:szCs w:val="20"/>
          <w:lang w:val="en-US"/>
        </w:rPr>
        <w:t> 34.3 (2011): 277-292.Bornedal, Peter. "Deconstructive vs Pragmatic: A Critique of the Derrida–Searle Debate." </w:t>
      </w:r>
      <w:r>
        <w:rPr>
          <w:rFonts w:ascii="Times New Roman" w:cs="Times New Roman" w:hAnsi="Times New Roman"/>
          <w:i/>
          <w:iCs/>
          <w:sz w:val="20"/>
          <w:szCs w:val="20"/>
          <w:lang w:val="en-US"/>
        </w:rPr>
        <w:t>The European Legacy</w:t>
      </w:r>
      <w:r>
        <w:rPr>
          <w:rFonts w:ascii="Times New Roman" w:cs="Times New Roman" w:hAnsi="Times New Roman"/>
          <w:sz w:val="20"/>
          <w:szCs w:val="20"/>
          <w:lang w:val="en-US"/>
        </w:rPr>
        <w:t> 25.1 (2020): 62-81.Kenaan, Hagi. "Language, philosophy and the risk of failure: rereading the debate between Searle and Derrida." </w:t>
      </w:r>
      <w:r>
        <w:rPr>
          <w:rFonts w:ascii="Times New Roman" w:cs="Times New Roman" w:hAnsi="Times New Roman"/>
          <w:i/>
          <w:iCs/>
          <w:sz w:val="20"/>
          <w:szCs w:val="20"/>
          <w:lang w:val="en-US"/>
        </w:rPr>
        <w:t>Continental Philosophy Review</w:t>
      </w:r>
      <w:r>
        <w:rPr>
          <w:rFonts w:ascii="Times New Roman" w:cs="Times New Roman" w:hAnsi="Times New Roman"/>
          <w:sz w:val="20"/>
          <w:szCs w:val="20"/>
          <w:lang w:val="en-US"/>
        </w:rPr>
        <w:t> 35.2 (2002): 117-133.Moati, Raoul. </w:t>
      </w:r>
      <w:r>
        <w:rPr>
          <w:rFonts w:ascii="Times New Roman" w:cs="Times New Roman" w:hAnsi="Times New Roman"/>
          <w:i/>
          <w:iCs/>
          <w:sz w:val="20"/>
          <w:szCs w:val="20"/>
          <w:lang w:val="en-US"/>
        </w:rPr>
        <w:t>Derrida/Searle: Deconstruction and ordinary language</w:t>
      </w:r>
      <w:r>
        <w:rPr>
          <w:rFonts w:ascii="Times New Roman" w:cs="Times New Roman" w:hAnsi="Times New Roman"/>
          <w:sz w:val="20"/>
          <w:szCs w:val="20"/>
          <w:lang w:val="en-US"/>
        </w:rPr>
        <w:t>. Columbia University Press, 2014.Deconstructive vs Pragmatic: A Critique of the Derrida–Searle Debate: The European Legacy: Vol 25, No 1 </w:t>
      </w:r>
      <w:r>
        <w:rPr>
          <w:rStyle w:val="Hyperlink"/>
          <w:rFonts w:ascii="Times New Roman" w:cs="Times New Roman" w:hAnsi="Times New Roman"/>
          <w:sz w:val="20"/>
          <w:szCs w:val="20"/>
          <w:lang w:val="en-US"/>
        </w:rPr>
        <w:fldChar w:fldCharType="begin"/>
      </w:r>
      <w:r>
        <w:rPr>
          <w:rStyle w:val="Hyperlink"/>
          <w:rFonts w:ascii="Times New Roman" w:cs="Times New Roman" w:hAnsi="Times New Roman"/>
          <w:sz w:val="20"/>
          <w:szCs w:val="20"/>
          <w:lang w:val="en-US"/>
        </w:rPr>
        <w:instrText xml:space="preserve">HYPERLINK "https://share.google/sAUm4xK4ZxlRX42Tk" </w:instrText>
      </w:r>
      <w:r>
        <w:rPr>
          <w:rStyle w:val="Hyperlink"/>
          <w:rFonts w:ascii="Times New Roman" w:cs="Times New Roman" w:hAnsi="Times New Roman"/>
          <w:sz w:val="20"/>
          <w:szCs w:val="20"/>
          <w:lang w:val="en-US"/>
        </w:rPr>
        <w:fldChar w:fldCharType="separate"/>
      </w:r>
      <w:r>
        <w:rPr>
          <w:rStyle w:val="Hyperlink"/>
          <w:rFonts w:ascii="Times New Roman" w:cs="Times New Roman" w:hAnsi="Times New Roman"/>
          <w:sz w:val="20"/>
          <w:szCs w:val="20"/>
          <w:lang w:val="en-US"/>
        </w:rPr>
        <w:t>https://share.google/sAUm4xK4ZxlRX42Tk</w:t>
      </w:r>
      <w:r>
        <w:rPr>
          <w:rFonts w:ascii="Times New Roman" w:cs="Times New Roman" w:hAnsi="Times New Roman"/>
          <w:sz w:val="20"/>
          <w:szCs w:val="20"/>
          <w:lang w:val="en-US"/>
        </w:rPr>
        <w:fldChar w:fldCharType="end"/>
      </w:r>
      <w:r>
        <w:rPr>
          <w:rFonts w:ascii="Times New Roman" w:cs="Times New Roman" w:hAnsi="Times New Roman"/>
          <w:sz w:val="20"/>
          <w:szCs w:val="20"/>
          <w:lang w:val="en-US"/>
        </w:rPr>
        <w:t>Searle, J. R. "John Searle speech acts." (1969).</w:t>
      </w:r>
      <w:r>
        <w:rPr>
          <w:rFonts w:ascii="Arial" w:cs="Arial" w:hAnsi="Arial"/>
          <w:color w:val="006621"/>
          <w:sz w:val="20"/>
          <w:szCs w:val="20"/>
          <w:shd w:val="clear" w:color="auto" w:fill="ffffff"/>
          <w:lang w:val="en-US"/>
        </w:rPr>
        <w:t xml:space="preserve"> </w:t>
      </w:r>
      <w:r>
        <w:rPr>
          <w:rFonts w:ascii="Times New Roman" w:cs="Times New Roman" w:hAnsi="Times New Roman"/>
          <w:sz w:val="20"/>
          <w:szCs w:val="20"/>
          <w:lang w:val="en-US"/>
        </w:rPr>
        <w:t>JR </w:t>
      </w:r>
      <w:r>
        <w:rPr>
          <w:rFonts w:ascii="Times New Roman" w:cs="Times New Roman" w:hAnsi="Times New Roman"/>
          <w:b/>
          <w:bCs/>
          <w:sz w:val="20"/>
          <w:szCs w:val="20"/>
          <w:lang w:val="en-US"/>
        </w:rPr>
        <w:t>Searle</w:t>
      </w:r>
      <w:r>
        <w:rPr>
          <w:rFonts w:ascii="Times New Roman" w:cs="Times New Roman" w:hAnsi="Times New Roman"/>
          <w:sz w:val="20"/>
          <w:szCs w:val="20"/>
          <w:lang w:val="en-US"/>
        </w:rPr>
        <w:t> - </w:t>
      </w:r>
      <w:r>
        <w:rPr>
          <w:rFonts w:ascii="Times New Roman" w:cs="Times New Roman" w:hAnsi="Times New Roman"/>
          <w:b/>
          <w:bCs/>
          <w:sz w:val="20"/>
          <w:szCs w:val="20"/>
          <w:lang w:val="en-US"/>
        </w:rPr>
        <w:t>1969</w:t>
      </w:r>
      <w:r>
        <w:rPr>
          <w:rFonts w:ascii="Times New Roman" w:cs="Times New Roman" w:hAnsi="Times New Roman"/>
          <w:sz w:val="20"/>
          <w:szCs w:val="20"/>
          <w:lang w:val="en-US"/>
        </w:rPr>
        <w:t> - Cambridge University Press;Austin, John Langshaw. </w:t>
      </w:r>
      <w:r>
        <w:rPr>
          <w:rFonts w:ascii="Times New Roman" w:cs="Times New Roman" w:hAnsi="Times New Roman"/>
          <w:i/>
          <w:iCs/>
          <w:sz w:val="20"/>
          <w:szCs w:val="20"/>
          <w:lang w:val="en-US"/>
        </w:rPr>
        <w:t>How to do things with words</w:t>
      </w:r>
      <w:r>
        <w:rPr>
          <w:rFonts w:ascii="Times New Roman" w:cs="Times New Roman" w:hAnsi="Times New Roman"/>
          <w:sz w:val="20"/>
          <w:szCs w:val="20"/>
          <w:lang w:val="en-US"/>
        </w:rPr>
        <w:t>. Harvard university press, 1975.. Derrida, Jacques. "Signature Event Context." In Margins of Philosophy*, translated by Alan Bass, 307-330. Chicago: University of Chicago Press, 1982.</w:t>
      </w:r>
    </w:p>
    <w:p w14:paraId="00000019">
      <w:pPr>
        <w:rPr>
          <w:rFonts w:ascii="Times New Roman" w:cs="Times New Roman" w:hAnsi="Times New Roman"/>
          <w:sz w:val="20"/>
          <w:szCs w:val="20"/>
          <w:lang w:val="en-US"/>
        </w:rPr>
      </w:pPr>
      <w:r>
        <w:rPr>
          <w:rFonts w:ascii="Times New Roman" w:cs="Times New Roman" w:hAnsi="Times New Roman"/>
          <w:sz w:val="20"/>
          <w:szCs w:val="20"/>
          <w:lang w:val="en-US"/>
        </w:rPr>
        <w:t>;Bass, Alan. "‘Signature Event Context’: Margins of Philosophy (Derrida 1982 [First Published 1972])." </w:t>
      </w:r>
      <w:r>
        <w:rPr>
          <w:rFonts w:ascii="Times New Roman" w:cs="Times New Roman" w:hAnsi="Times New Roman"/>
          <w:i/>
          <w:iCs/>
          <w:sz w:val="20"/>
          <w:szCs w:val="20"/>
          <w:lang w:val="en-US"/>
        </w:rPr>
        <w:t>Jacques Derrida: Basic Writings</w:t>
      </w:r>
      <w:r>
        <w:rPr>
          <w:rFonts w:ascii="Times New Roman" w:cs="Times New Roman" w:hAnsi="Times New Roman"/>
          <w:sz w:val="20"/>
          <w:szCs w:val="20"/>
          <w:lang w:val="en-US"/>
        </w:rPr>
        <w:t>. Routledge, 2020. 105-134.John </w:t>
      </w:r>
      <w:r>
        <w:rPr>
          <w:rFonts w:ascii="Times New Roman" w:cs="Times New Roman" w:hAnsi="Times New Roman"/>
          <w:b/>
          <w:bCs/>
          <w:sz w:val="20"/>
          <w:szCs w:val="20"/>
          <w:lang w:val="en-US"/>
        </w:rPr>
        <w:t>Searle</w:t>
      </w:r>
      <w:r>
        <w:rPr>
          <w:rFonts w:ascii="Times New Roman" w:cs="Times New Roman" w:hAnsi="Times New Roman"/>
          <w:sz w:val="20"/>
          <w:szCs w:val="20"/>
          <w:lang w:val="en-US"/>
        </w:rPr>
        <w:t>, </w:t>
      </w:r>
      <w:r>
        <w:rPr>
          <w:rFonts w:ascii="Times New Roman" w:cs="Times New Roman" w:hAnsi="Times New Roman"/>
          <w:b/>
          <w:bCs/>
          <w:sz w:val="20"/>
          <w:szCs w:val="20"/>
          <w:lang w:val="en-US"/>
        </w:rPr>
        <w:t>Reiterating</w:t>
      </w:r>
      <w:r>
        <w:rPr>
          <w:rFonts w:ascii="Times New Roman" w:cs="Times New Roman" w:hAnsi="Times New Roman"/>
          <w:sz w:val="20"/>
          <w:szCs w:val="20"/>
          <w:lang w:val="en-US"/>
        </w:rPr>
        <w:t> the </w:t>
      </w:r>
      <w:r>
        <w:rPr>
          <w:rFonts w:ascii="Times New Roman" w:cs="Times New Roman" w:hAnsi="Times New Roman"/>
          <w:b/>
          <w:bCs/>
          <w:sz w:val="20"/>
          <w:szCs w:val="20"/>
          <w:lang w:val="en-US"/>
        </w:rPr>
        <w:t>Differences</w:t>
      </w:r>
      <w:r>
        <w:rPr>
          <w:rFonts w:ascii="Times New Roman" w:cs="Times New Roman" w:hAnsi="Times New Roman"/>
          <w:sz w:val="20"/>
          <w:szCs w:val="20"/>
          <w:lang w:val="en-US"/>
        </w:rPr>
        <w:t>: A Reply to Jacques Derrida - PhilPapers …</w:t>
      </w:r>
      <w:r>
        <w:rPr>
          <w:rFonts w:ascii="Times New Roman" w:cs="Times New Roman" w:hAnsi="Times New Roman"/>
          <w:b/>
          <w:bCs/>
          <w:sz w:val="20"/>
          <w:szCs w:val="20"/>
          <w:lang w:val="en-US"/>
        </w:rPr>
        <w:t>Reiterating</w:t>
      </w:r>
      <w:r>
        <w:rPr>
          <w:rFonts w:ascii="Times New Roman" w:cs="Times New Roman" w:hAnsi="Times New Roman"/>
          <w:sz w:val="20"/>
          <w:szCs w:val="20"/>
          <w:lang w:val="en-US"/>
        </w:rPr>
        <w:t> the </w:t>
      </w:r>
      <w:r>
        <w:rPr>
          <w:rFonts w:ascii="Times New Roman" w:cs="Times New Roman" w:hAnsi="Times New Roman"/>
          <w:b/>
          <w:bCs/>
          <w:sz w:val="20"/>
          <w:szCs w:val="20"/>
          <w:lang w:val="en-US"/>
        </w:rPr>
        <w:t>Differences</w:t>
      </w:r>
      <w:r>
        <w:rPr>
          <w:rFonts w:ascii="Times New Roman" w:cs="Times New Roman" w:hAnsi="Times New Roman"/>
          <w:sz w:val="20"/>
          <w:szCs w:val="20"/>
          <w:lang w:val="en-US"/>
        </w:rPr>
        <w:t>: A Reply to Jacques Derrida John </w:t>
      </w:r>
      <w:r>
        <w:rPr>
          <w:rFonts w:ascii="Times New Roman" w:cs="Times New Roman" w:hAnsi="Times New Roman"/>
          <w:b/>
          <w:bCs/>
          <w:sz w:val="20"/>
          <w:szCs w:val="20"/>
          <w:lang w:val="en-US"/>
        </w:rPr>
        <w:t>Searle</w:t>
      </w:r>
      <w:r>
        <w:rPr>
          <w:rFonts w:ascii="Times New Roman" w:cs="Times New Roman" w:hAnsi="Times New Roman"/>
          <w:sz w:val="20"/>
          <w:szCs w:val="20"/>
          <w:lang w:val="en-US"/>
        </w:rPr>
        <w:t> ,,,,,,,.,`1111</w:t>
      </w:r>
    </w:p>
    <w:p w14:paraId="0000001A">
      <w:pPr>
        <w:rPr>
          <w:rFonts w:ascii="Times New Roman" w:cs="Times New Roman" w:hAnsi="Times New Roman"/>
          <w:sz w:val="20"/>
          <w:szCs w:val="20"/>
          <w:lang w:val="en-US"/>
        </w:rPr>
      </w:pPr>
      <w:r>
        <w:rPr>
          <w:rFonts w:ascii="Times New Roman" w:cs="Times New Roman" w:hAnsi="Times New Roman"/>
          <w:sz w:val="20"/>
          <w:szCs w:val="20"/>
          <w:lang w:val="en-US"/>
        </w:rPr>
        <w:t xml:space="preserve">Searle, John. "Reiterating the differences: A reply to Jacques Derrida." </w:t>
      </w:r>
      <w:r>
        <w:rPr>
          <w:rFonts w:ascii="Times New Roman" w:cs="Times New Roman" w:hAnsi="Times New Roman"/>
          <w:sz w:val="20"/>
          <w:szCs w:val="20"/>
          <w:lang w:val="en-US"/>
        </w:rPr>
        <w:t>(1977).</w:t>
      </w:r>
    </w:p>
    <w:p w14:paraId="0000001B">
      <w:pPr>
        <w:pStyle w:val="Footnotetext"/>
        <w:rPr>
          <w:lang w:val="en-US"/>
        </w:rPr>
      </w:pPr>
      <w:bookmarkEnd w:id="0"/>
    </w:p>
  </w:footnote>
  <w:footnote w:id="6">
    <w:p w14:paraId="0000001C">
      <w:pPr>
        <w:pStyle w:val="Footnotetext"/>
        <w:rPr>
          <w:lang w:val="en-US"/>
        </w:rPr>
      </w:pPr>
      <w:r>
        <w:rPr>
          <w:rStyle w:val="Footnotereference"/>
        </w:rPr>
        <w:footnoteRef/>
      </w:r>
      <w:r>
        <w:rPr>
          <w:lang w:val="en-US"/>
        </w:rPr>
        <w:t xml:space="preserve"> </w:t>
      </w:r>
      <w:r>
        <w:rPr>
          <w:rFonts w:ascii="Times New Roman" w:cs="Times New Roman" w:hAnsi="Times New Roman"/>
          <w:lang w:val="en-US"/>
        </w:rPr>
        <w:t xml:space="preserve">Vaswani, Ashish, et al. </w:t>
      </w:r>
      <w:r>
        <w:rPr>
          <w:rFonts w:ascii="Times New Roman" w:cs="Times New Roman" w:hAnsi="Times New Roman"/>
          <w:i/>
          <w:iCs/>
          <w:lang w:val="en-US"/>
        </w:rPr>
        <w:t>"Attention is all you need."</w:t>
      </w:r>
      <w:r>
        <w:rPr>
          <w:rFonts w:ascii="Times New Roman" w:cs="Times New Roman" w:hAnsi="Times New Roman"/>
          <w:lang w:val="en-US"/>
        </w:rPr>
        <w:t> </w:t>
      </w:r>
      <w:r>
        <w:rPr>
          <w:rFonts w:ascii="Times New Roman" w:cs="Times New Roman" w:hAnsi="Times New Roman"/>
          <w:i/>
          <w:iCs/>
          <w:lang w:val="en-US"/>
        </w:rPr>
        <w:t>Advances in neural information processing systems</w:t>
      </w:r>
      <w:r>
        <w:rPr>
          <w:rFonts w:ascii="Times New Roman" w:cs="Times New Roman" w:hAnsi="Times New Roman"/>
          <w:lang w:val="en-US"/>
        </w:rPr>
        <w:t> 30 (2017).</w:t>
      </w:r>
    </w:p>
  </w:footnote>
  <w:footnote w:id="7">
    <w:p w14:paraId="0000001D">
      <w:pPr>
        <w:pStyle w:val="Footnotetext"/>
        <w:rPr/>
      </w:pPr>
      <w:r>
        <w:rPr>
          <w:rStyle w:val="Footnotereference"/>
        </w:rPr>
        <w:footnoteRef/>
      </w:r>
      <w:r>
        <w:t xml:space="preserve"> Гадамер, Х. </w:t>
      </w:r>
      <w:r>
        <w:rPr>
          <w:i/>
          <w:iCs/>
        </w:rPr>
        <w:t>Истина и метод: Основы философской герменевтики</w:t>
      </w:r>
      <w:r>
        <w:t>. DirectMEDIA, 1988.</w:t>
      </w:r>
    </w:p>
  </w:footnote>
  <w:footnote w:id="8">
    <w:p w14:paraId="0000001E">
      <w:pPr>
        <w:pStyle w:val="Footnotetext"/>
        <w:rPr/>
      </w:pPr>
      <w:r>
        <w:rPr>
          <w:rStyle w:val="Footnotereference"/>
        </w:rPr>
        <w:footnoteRef/>
      </w:r>
      <w:r>
        <w:t xml:space="preserve"> Хайдеггер, М. "ФЕНОМЕНОЛОГИЯ ПОНИМАНИЯ СЛОВА. СЛОВО В ГЕРМЕНЕВТИЧЕСКОМ АСПЕКТЕ. ГЕРМЕНЕВТИЧЕСКИЕ КРУГИ."</w:t>
      </w:r>
    </w:p>
  </w:footnote>
  <w:footnote w:id="9">
    <w:p w14:paraId="0000001F">
      <w:pPr>
        <w:pStyle w:val="Footnotetext"/>
        <w:rPr>
          <w:lang w:val="fr-FR"/>
        </w:rPr>
      </w:pPr>
      <w:r>
        <w:rPr>
          <w:rStyle w:val="Footnotereference"/>
        </w:rPr>
        <w:footnoteRef/>
      </w:r>
      <w:r>
        <w:rPr>
          <w:rStyle w:val="Hyperlink"/>
          <w:b/>
          <w:bCs/>
          <w:lang w:val="fr-FR"/>
        </w:rPr>
        <w:fldChar w:fldCharType="begin"/>
      </w:r>
      <w:r>
        <w:rPr>
          <w:rStyle w:val="Hyperlink"/>
          <w:b/>
          <w:bCs/>
          <w:lang w:val="fr-FR"/>
        </w:rPr>
        <w:instrText xml:space="preserve">HYPERLINK "http://www.persee.fr/authority/149" </w:instrText>
      </w:r>
      <w:r>
        <w:rPr>
          <w:rStyle w:val="Hyperlink"/>
          <w:b/>
          <w:bCs/>
          <w:lang w:val="fr-FR"/>
        </w:rPr>
        <w:fldChar w:fldCharType="separate"/>
      </w:r>
      <w:r>
        <w:rPr>
          <w:rStyle w:val="Hyperlink"/>
          <w:b/>
          <w:bCs/>
          <w:lang w:val="fr-FR"/>
        </w:rPr>
        <w:t xml:space="preserve"> </w:t>
      </w:r>
      <w:r>
        <w:rPr>
          <w:rStyle w:val="Hyperlink"/>
          <w:b/>
          <w:bCs/>
          <w:lang w:val="fr-FR"/>
        </w:rPr>
        <w:t>Greimas</w:t>
      </w:r>
      <w:r>
        <w:rPr>
          <w:lang w:val="fr-FR"/>
        </w:rPr>
        <w:t xml:space="preserve"> </w:t>
      </w:r>
      <w:r>
        <w:rPr>
          <w:rStyle w:val="Hyperlink"/>
          <w:b/>
          <w:bCs/>
          <w:lang w:val="fr-FR"/>
        </w:rPr>
        <w:t>A. J,</w:t>
      </w:r>
      <w:r>
        <w:rPr>
          <w:lang w:val="fr-FR"/>
        </w:rPr>
        <w:fldChar w:fldCharType="end"/>
      </w:r>
      <w:r>
        <w:rPr>
          <w:lang w:val="fr-FR"/>
        </w:rPr>
        <w:t xml:space="preserve"> </w:t>
      </w:r>
      <w:r>
        <w:rPr>
          <w:rStyle w:val="Hyperlink"/>
          <w:lang w:val="fr-FR"/>
        </w:rPr>
        <w:fldChar w:fldCharType="begin"/>
      </w:r>
      <w:r>
        <w:rPr>
          <w:rStyle w:val="Hyperlink"/>
          <w:lang w:val="fr-FR"/>
        </w:rPr>
        <w:instrText xml:space="preserve">HYPERLINK "http://www.persee.fr/collection/lgge" </w:instrText>
      </w:r>
      <w:r>
        <w:rPr>
          <w:rStyle w:val="Hyperlink"/>
          <w:lang w:val="fr-FR"/>
        </w:rPr>
        <w:fldChar w:fldCharType="separate"/>
      </w:r>
      <w:r>
        <w:rPr>
          <w:rStyle w:val="Hyperlink"/>
          <w:lang w:val="fr-FR"/>
        </w:rPr>
        <w:t>Langages</w:t>
      </w:r>
      <w:r>
        <w:rPr>
          <w:lang w:val="fr-FR"/>
        </w:rPr>
        <w:fldChar w:fldCharType="end"/>
      </w:r>
      <w:r>
        <w:rPr>
          <w:lang w:val="fr-FR"/>
        </w:rPr>
        <w:t xml:space="preserve"> Année 1976 </w:t>
      </w:r>
      <w:r>
        <w:rPr>
          <w:rStyle w:val="Hyperlink"/>
          <w:lang w:val="fr-FR"/>
        </w:rPr>
        <w:fldChar w:fldCharType="begin"/>
      </w:r>
      <w:r>
        <w:rPr>
          <w:rStyle w:val="Hyperlink"/>
          <w:lang w:val="fr-FR"/>
        </w:rPr>
        <w:instrText xml:space="preserve">HYPERLINK "http://www.persee.fr/issue/lgge_0458-726x_1976_num_10_43?sectionId=lgge_0458-726x_1976_num_10_43_2322" </w:instrText>
      </w:r>
      <w:r>
        <w:rPr>
          <w:rStyle w:val="Hyperlink"/>
          <w:lang w:val="fr-FR"/>
        </w:rPr>
        <w:fldChar w:fldCharType="separate"/>
      </w:r>
      <w:r>
        <w:rPr>
          <w:rStyle w:val="Hyperlink"/>
          <w:lang w:val="fr-FR"/>
        </w:rPr>
        <w:t>43</w:t>
      </w:r>
      <w:r>
        <w:rPr>
          <w:lang w:val="fr-FR"/>
        </w:rPr>
        <w:fldChar w:fldCharType="end"/>
      </w:r>
      <w:r>
        <w:rPr>
          <w:lang w:val="fr-FR"/>
        </w:rPr>
        <w:t xml:space="preserve"> pp. 90-107 </w:t>
      </w:r>
    </w:p>
    <w:p w14:paraId="00000020">
      <w:pPr>
        <w:pStyle w:val="Footnotetext"/>
        <w:rPr>
          <w:lang w:val="fr-FR"/>
        </w:rPr>
      </w:pPr>
      <w:r>
        <w:rPr>
          <w:rStyle w:val="Hyperlink"/>
          <w:lang w:val="fr-FR"/>
        </w:rPr>
        <w:fldChar w:fldCharType="begin"/>
      </w:r>
      <w:r>
        <w:rPr>
          <w:rStyle w:val="Hyperlink"/>
          <w:lang w:val="fr-FR"/>
        </w:rPr>
        <w:instrText xml:space="preserve">HYPERLINK "http://www.persee.fr/doc/lgge_0458-726x_" </w:instrText>
      </w:r>
      <w:r>
        <w:rPr>
          <w:rStyle w:val="Hyperlink"/>
          <w:lang w:val="fr-FR"/>
        </w:rPr>
        <w:fldChar w:fldCharType="separate"/>
      </w:r>
      <w:r>
        <w:rPr>
          <w:rStyle w:val="Hyperlink"/>
          <w:lang w:val="fr-FR"/>
        </w:rPr>
        <w:t>http://www.persee.fr/doc/lgge_0458-726x_</w:t>
      </w:r>
      <w:r>
        <w:rPr>
          <w:lang w:val="fr-FR"/>
        </w:rPr>
        <w:fldChar w:fldCharType="end"/>
      </w:r>
    </w:p>
    <w:p w14:paraId="00000021">
      <w:pPr>
        <w:pStyle w:val="Footnotetext"/>
        <w:rPr/>
      </w:pPr>
      <w:r>
        <w:t>1976_num_10_43_2322</w:t>
      </w:r>
    </w:p>
  </w:footnote>
  <w:footnote w:id="10">
    <w:p w14:paraId="00000022">
      <w:pPr>
        <w:pStyle w:val="Footnotetext"/>
        <w:rPr/>
      </w:pPr>
      <w:r>
        <w:rPr>
          <w:rStyle w:val="Footnotereference"/>
        </w:rPr>
        <w:footnoteRef/>
      </w:r>
      <w:r>
        <w:rPr>
          <w:rFonts w:ascii="Times New Roman" w:cs="Times New Roman" w:hAnsi="Times New Roman"/>
        </w:rPr>
        <w:t>Белозёрова, Н. Н. </w:t>
      </w:r>
      <w:r>
        <w:rPr>
          <w:rFonts w:ascii="Times New Roman" w:cs="Times New Roman" w:hAnsi="Times New Roman"/>
          <w:i/>
          <w:iCs/>
        </w:rPr>
        <w:t>Мир реальный и мир виртуальный: две экологические системы?</w:t>
      </w:r>
      <w:r>
        <w:rPr>
          <w:rFonts w:ascii="Times New Roman" w:cs="Times New Roman" w:hAnsi="Times New Roman"/>
        </w:rPr>
        <w:t xml:space="preserve"> Издательство Тюменского государственного университета, 2010.]</w:t>
      </w:r>
    </w:p>
  </w:footnote>
  <w:footnote w:id="11">
    <w:p w14:paraId="00000023">
      <w:pPr>
        <w:pStyle w:val="Footnotetext"/>
        <w:rPr/>
      </w:pPr>
      <w:r>
        <w:rPr>
          <w:rStyle w:val="Footnotereference"/>
        </w:rPr>
        <w:footnoteRef/>
      </w:r>
      <w:r>
        <w:t xml:space="preserve"> </w:t>
      </w:r>
      <w:r>
        <w:t>Попросите модели создать код для предварительного анализа текста, включающий следующие этапы:</w:t>
      </w:r>
    </w:p>
    <w:p w14:paraId="00000024">
      <w:pPr>
        <w:pStyle w:val="Footnotetext"/>
        <w:rPr/>
      </w:pPr>
      <w:r>
        <w:t>Шаг 1: определить тип текста (привести аргументы).</w:t>
      </w:r>
    </w:p>
    <w:p w14:paraId="00000025">
      <w:pPr>
        <w:pStyle w:val="Footnotetext"/>
        <w:rPr/>
      </w:pPr>
      <w:r>
        <w:t>Шаг 2: выделить именованные сущности.</w:t>
      </w:r>
    </w:p>
    <w:p w14:paraId="00000026">
      <w:pPr>
        <w:pStyle w:val="Footnotetext"/>
        <w:rPr/>
      </w:pPr>
      <w:r>
        <w:t>Шаг 3: выполнить «разметку частей речи».</w:t>
      </w:r>
    </w:p>
    <w:p w14:paraId="00000027">
      <w:pPr>
        <w:pStyle w:val="Footnotetext"/>
        <w:rPr/>
      </w:pPr>
      <w:r>
        <w:t>Шаг 4: выполнить «анализ тональности текста».</w:t>
      </w:r>
    </w:p>
    <w:p w14:paraId="00000028">
      <w:pPr>
        <w:pStyle w:val="Footnotetext"/>
        <w:rPr/>
      </w:pPr>
      <w:r>
        <w:t>Шаг 5: выполнить синтаксический разбор текста.</w:t>
      </w:r>
    </w:p>
    <w:p w14:paraId="00000029">
      <w:pPr>
        <w:pStyle w:val="Footnotetext"/>
        <w:rPr/>
      </w:pPr>
      <w:r>
        <w:t>Шаг 6: представить количественные результаты предварительного анализа в таблице.</w:t>
      </w:r>
    </w:p>
    <w:p w14:paraId="0000002A">
      <w:pPr>
        <w:pStyle w:val="Footnotetext"/>
        <w:rPr/>
      </w:pPr>
      <w:r>
        <w:t>Реализуйте полученный код для анализа текстов (файл прилагается ниже). Если код не получен, выполните анализ в соответствии с 6 перечисленными выше этапами.</w:t>
      </w:r>
    </w:p>
  </w:footnote>
  <w:footnote w:id="12">
    <w:p w14:paraId="0000002B">
      <w:pPr>
        <w:pStyle w:val="Footnotetext"/>
        <w:rPr/>
      </w:pPr>
      <w:r>
        <w:rPr>
          <w:rStyle w:val="Footnotereference"/>
        </w:rPr>
        <w:footnoteRef/>
      </w:r>
      <w:r>
        <w:t xml:space="preserve"> </w:t>
      </w:r>
      <w:r>
        <w:t>Подготовлено А.В. Габриэлян</w:t>
      </w:r>
    </w:p>
  </w:footnote>
  <w:footnote w:id="13">
    <w:p w14:paraId="0000002C">
      <w:pPr>
        <w:spacing w:line="360" w:lineRule="auto"/>
        <w:jc w:val="both"/>
        <w:rPr>
          <w:rFonts w:ascii="Times New Roman" w:cs="Times New Roman" w:hAnsi="Times New Roman"/>
          <w:sz w:val="20"/>
          <w:szCs w:val="20"/>
        </w:rPr>
      </w:pPr>
      <w:r>
        <w:rPr>
          <w:rStyle w:val="Footnotereference"/>
        </w:rPr>
        <w:footnoteRef/>
      </w:r>
      <w:r>
        <w:t xml:space="preserve"> </w:t>
      </w:r>
      <w:r>
        <w:rPr>
          <w:rFonts w:ascii="Times New Roman" w:cs="Times New Roman" w:hAnsi="Times New Roman"/>
          <w:sz w:val="20"/>
          <w:szCs w:val="20"/>
          <w:lang w:val="en-US"/>
        </w:rPr>
        <w:t>Shakespeare</w:t>
      </w:r>
      <w:r>
        <w:rPr>
          <w:rFonts w:ascii="Times New Roman" w:cs="Times New Roman" w:hAnsi="Times New Roman"/>
          <w:sz w:val="20"/>
          <w:szCs w:val="20"/>
        </w:rPr>
        <w:t xml:space="preserve"> </w:t>
      </w:r>
      <w:r>
        <w:rPr>
          <w:rFonts w:ascii="Times New Roman" w:cs="Times New Roman" w:hAnsi="Times New Roman"/>
          <w:sz w:val="20"/>
          <w:szCs w:val="20"/>
          <w:lang w:val="en-US"/>
        </w:rPr>
        <w:t>William</w:t>
      </w:r>
      <w:r>
        <w:rPr>
          <w:rFonts w:ascii="Times New Roman" w:cs="Times New Roman" w:hAnsi="Times New Roman"/>
          <w:sz w:val="20"/>
          <w:szCs w:val="20"/>
        </w:rPr>
        <w:t xml:space="preserve">: </w:t>
      </w:r>
      <w:r>
        <w:rPr>
          <w:rFonts w:ascii="Times New Roman" w:cs="Times New Roman" w:hAnsi="Times New Roman"/>
          <w:sz w:val="20"/>
          <w:szCs w:val="20"/>
          <w:lang w:val="en-US"/>
        </w:rPr>
        <w:t>Sonnets</w:t>
      </w:r>
      <w:r>
        <w:rPr>
          <w:rFonts w:ascii="Times New Roman" w:cs="Times New Roman" w:hAnsi="Times New Roman"/>
          <w:sz w:val="20"/>
          <w:szCs w:val="20"/>
        </w:rPr>
        <w:t>, С. 144 Шекспир: собрание</w:t>
      </w:r>
      <w:r>
        <w:rPr>
          <w:rFonts w:ascii="Times New Roman" w:cs="Times New Roman" w:hAnsi="Times New Roman"/>
          <w:sz w:val="20"/>
          <w:szCs w:val="20"/>
        </w:rPr>
        <w:t xml:space="preserve"> </w:t>
      </w:r>
      <w:r>
        <w:rPr>
          <w:rFonts w:ascii="Times New Roman" w:cs="Times New Roman" w:hAnsi="Times New Roman"/>
          <w:sz w:val="20"/>
          <w:szCs w:val="20"/>
        </w:rPr>
        <w:t xml:space="preserve">сочинений, С. 15554 (ср. </w:t>
      </w:r>
      <w:r>
        <w:rPr>
          <w:rFonts w:ascii="Times New Roman" w:cs="Times New Roman" w:hAnsi="Times New Roman"/>
          <w:sz w:val="20"/>
          <w:szCs w:val="20"/>
          <w:lang w:val="en-US"/>
        </w:rPr>
        <w:t>Shakespeare</w:t>
      </w:r>
      <w:r>
        <w:rPr>
          <w:rFonts w:ascii="Times New Roman" w:cs="Times New Roman" w:hAnsi="Times New Roman"/>
          <w:sz w:val="20"/>
          <w:szCs w:val="20"/>
        </w:rPr>
        <w:t>-</w:t>
      </w:r>
      <w:r>
        <w:rPr>
          <w:rFonts w:ascii="Times New Roman" w:cs="Times New Roman" w:hAnsi="Times New Roman"/>
          <w:sz w:val="20"/>
          <w:szCs w:val="20"/>
          <w:lang w:val="en-US"/>
        </w:rPr>
        <w:t>Riverside</w:t>
      </w:r>
      <w:r>
        <w:rPr>
          <w:rFonts w:ascii="Times New Roman" w:cs="Times New Roman" w:hAnsi="Times New Roman"/>
          <w:sz w:val="20"/>
          <w:szCs w:val="20"/>
        </w:rPr>
        <w:t xml:space="preserve">, </w:t>
      </w:r>
      <w:r>
        <w:rPr>
          <w:rFonts w:ascii="Times New Roman" w:cs="Times New Roman" w:hAnsi="Times New Roman"/>
          <w:sz w:val="20"/>
          <w:szCs w:val="20"/>
        </w:rPr>
        <w:t>С</w:t>
      </w:r>
      <w:r>
        <w:rPr>
          <w:rFonts w:ascii="Times New Roman" w:cs="Times New Roman" w:hAnsi="Times New Roman"/>
          <w:sz w:val="20"/>
          <w:szCs w:val="20"/>
        </w:rPr>
        <w:t>. 1775)]</w:t>
      </w:r>
    </w:p>
  </w:footnote>
  <w:footnote w:id="14">
    <w:p w14:paraId="0000002D">
      <w:pPr>
        <w:pStyle w:val="Footnotetext"/>
        <w:rPr/>
      </w:pPr>
      <w:r>
        <w:rPr>
          <w:rStyle w:val="Footnotereference"/>
        </w:rPr>
        <w:footnoteRef/>
      </w:r>
      <w:r>
        <w:t xml:space="preserve">  Подготовлено М</w:t>
      </w:r>
      <w:r>
        <w:t>.</w:t>
      </w:r>
      <w:r>
        <w:t>А</w:t>
      </w:r>
      <w:r>
        <w:t xml:space="preserve">. </w:t>
      </w:r>
      <w:r>
        <w:t>Воронковым</w:t>
      </w:r>
    </w:p>
  </w:footnote>
  <w:footnote w:id="15">
    <w:p w14:paraId="0000002E">
      <w:pPr>
        <w:pStyle w:val="Footnotetext"/>
        <w:rPr/>
      </w:pPr>
      <w:r>
        <w:rPr>
          <w:rStyle w:val="Footnotereference"/>
        </w:rPr>
        <w:footnoteRef/>
      </w:r>
      <w:r>
        <w:t xml:space="preserve"> </w:t>
      </w:r>
      <w:r>
        <w:t>Подготовлено А.В. Габриэлян</w:t>
      </w:r>
    </w:p>
  </w:footnote>
  <w:footnote w:id="16">
    <w:p w14:paraId="0000002F">
      <w:pPr>
        <w:pStyle w:val="Footnotetext"/>
        <w:rPr/>
      </w:pPr>
      <w:r>
        <w:rPr>
          <w:rStyle w:val="Footnotereference"/>
        </w:rPr>
        <w:footnoteRef/>
      </w:r>
      <w:r>
        <w:t xml:space="preserve"> Подготовлено </w:t>
      </w:r>
      <w:r>
        <w:t>А.В. Габриэлян</w:t>
      </w:r>
    </w:p>
  </w:footnote>
  <w:footnote w:id="17">
    <w:p w14:paraId="00000030">
      <w:pPr>
        <w:pStyle w:val="Footnotetext"/>
        <w:rPr/>
      </w:pPr>
      <w:r>
        <w:rPr>
          <w:rStyle w:val="Footnotereference"/>
        </w:rPr>
        <w:footnoteRef/>
      </w:r>
      <w:r>
        <w:t xml:space="preserve"> Подготовлено П.А.</w:t>
      </w:r>
      <w:r>
        <w:t xml:space="preserve"> </w:t>
      </w:r>
      <w:r>
        <w:t>Зименс</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hybridMultilevel"/>
    <w:lvl w:ilvl="0" w:tentative="0">
      <w:start w:val="1"/>
      <w:numFmt w:val="bullet"/>
      <w:lvlText w:val=""/>
      <w:lvlJc w:val="left"/>
      <w:pPr>
        <w:ind w:left="720" w:hanging="360"/>
      </w:pPr>
      <w:rPr>
        <w:rFonts w:ascii="Symbol" w:hAnsi="Symbol"/>
      </w:rPr>
    </w:lvl>
    <w:lvl w:ilvl="1" w:tentative="0">
      <w:start w:val="1"/>
      <w:numFmt w:val="bullet"/>
      <w:lvlText w:val="o"/>
      <w:lvlJc w:val="left"/>
      <w:pPr>
        <w:ind w:left="1440" w:hanging="360"/>
      </w:pPr>
      <w:rPr>
        <w:rFonts w:ascii="Courier New" w:hAnsi="Courier New"/>
      </w:rPr>
    </w:lvl>
    <w:lvl w:ilvl="2" w:tentative="0">
      <w:start w:val="1"/>
      <w:numFmt w:val="bullet"/>
      <w:lvlText w:val=""/>
      <w:lvlJc w:val="left"/>
      <w:pPr>
        <w:ind w:left="2160" w:hanging="360"/>
      </w:pPr>
      <w:rPr>
        <w:rFonts w:ascii="Wingdings" w:hAnsi="Wingdings"/>
      </w:rPr>
    </w:lvl>
    <w:lvl w:ilvl="3" w:tentative="0">
      <w:start w:val="1"/>
      <w:numFmt w:val="bullet"/>
      <w:lvlText w:val=""/>
      <w:lvlJc w:val="left"/>
      <w:pPr>
        <w:ind w:left="2880" w:hanging="360"/>
      </w:pPr>
      <w:rPr>
        <w:rFonts w:ascii="Symbol" w:hAnsi="Symbol"/>
      </w:rPr>
    </w:lvl>
    <w:lvl w:ilvl="4" w:tentative="0">
      <w:start w:val="1"/>
      <w:numFmt w:val="bullet"/>
      <w:lvlText w:val="o"/>
      <w:lvlJc w:val="left"/>
      <w:pPr>
        <w:ind w:left="3600" w:hanging="360"/>
      </w:pPr>
      <w:rPr>
        <w:rFonts w:ascii="Courier New" w:hAnsi="Courier New"/>
      </w:rPr>
    </w:lvl>
    <w:lvl w:ilvl="5" w:tentative="0">
      <w:start w:val="1"/>
      <w:numFmt w:val="bullet"/>
      <w:lvlText w:val=""/>
      <w:lvlJc w:val="left"/>
      <w:pPr>
        <w:ind w:left="4320" w:hanging="360"/>
      </w:pPr>
      <w:rPr>
        <w:rFonts w:ascii="Wingdings" w:hAnsi="Wingdings"/>
      </w:rPr>
    </w:lvl>
    <w:lvl w:ilvl="6" w:tentative="0">
      <w:start w:val="1"/>
      <w:numFmt w:val="bullet"/>
      <w:lvlText w:val=""/>
      <w:lvlJc w:val="left"/>
      <w:pPr>
        <w:ind w:left="5040" w:hanging="360"/>
      </w:pPr>
      <w:rPr>
        <w:rFonts w:ascii="Symbol" w:hAnsi="Symbol"/>
      </w:rPr>
    </w:lvl>
    <w:lvl w:ilvl="7" w:tentative="0">
      <w:start w:val="1"/>
      <w:numFmt w:val="bullet"/>
      <w:lvlText w:val="o"/>
      <w:lvlJc w:val="left"/>
      <w:pPr>
        <w:ind w:left="5760" w:hanging="360"/>
      </w:pPr>
      <w:rPr>
        <w:rFonts w:ascii="Courier New" w:hAnsi="Courier New"/>
      </w:rPr>
    </w:lvl>
    <w:lvl w:ilvl="8" w:tentative="0">
      <w:start w:val="1"/>
      <w:numFmt w:val="bullet"/>
      <w:lvlText w:val=""/>
      <w:lvlJc w:val="left"/>
      <w:pPr>
        <w:ind w:left="6480" w:hanging="360"/>
      </w:pPr>
      <w:rPr>
        <w:rFonts w:ascii="Wingdings" w:hAnsi="Wingdings"/>
      </w:rPr>
    </w:lvl>
  </w:abstractNum>
  <w:abstractNum w:abstractNumId="1">
    <w:multiLevelType w:val="hybridMultilevel"/>
    <w:lvl w:ilvl="0" w:tentative="0">
      <w:start w:val="1"/>
      <w:numFmt w:val="bullet"/>
      <w:lvlText w:val=""/>
      <w:lvlJc w:val="left"/>
      <w:pPr>
        <w:tabs>
          <w:tab w:val="num" w:pos="720"/>
        </w:tabs>
        <w:ind w:left="720" w:hanging="360"/>
      </w:pPr>
      <w:rPr>
        <w:rFonts w:ascii="Symbol" w:hAnsi="Symbol" w:hint="default"/>
        <w:sz w:val="20"/>
      </w:rPr>
    </w:lvl>
    <w:lvl w:ilvl="1" w:tentative="0">
      <w:start w:val="1"/>
      <w:numFmt w:val="bullet"/>
      <w:lvlText w:val="o"/>
      <w:lvlJc w:val="left"/>
      <w:pPr>
        <w:tabs>
          <w:tab w:val="num" w:pos="1440"/>
        </w:tabs>
        <w:ind w:left="1440" w:hanging="360"/>
      </w:pPr>
      <w:rPr>
        <w:rFonts w:ascii="Courier New" w:hAnsi="Courier New" w:hint="default"/>
        <w:sz w:val="20"/>
      </w:rPr>
    </w:lvl>
    <w:lvl w:ilvl="2" w:tentative="0">
      <w:start w:val="1"/>
      <w:numFmt w:val="bullet"/>
      <w:lvlText w:val=""/>
      <w:lvlJc w:val="left"/>
      <w:pPr>
        <w:tabs>
          <w:tab w:val="num" w:pos="2160"/>
        </w:tabs>
        <w:ind w:left="2160" w:hanging="360"/>
      </w:pPr>
      <w:rPr>
        <w:rFonts w:ascii="Wingdings" w:hAnsi="Wingdings" w:hint="default"/>
        <w:sz w:val="20"/>
      </w:rPr>
    </w:lvl>
    <w:lvl w:ilvl="3" w:tentative="0">
      <w:start w:val="1"/>
      <w:numFmt w:val="bullet"/>
      <w:lvlText w:val=""/>
      <w:lvlJc w:val="left"/>
      <w:pPr>
        <w:tabs>
          <w:tab w:val="num" w:pos="2880"/>
        </w:tabs>
        <w:ind w:left="2880" w:hanging="360"/>
      </w:pPr>
      <w:rPr>
        <w:rFonts w:ascii="Wingdings" w:hAnsi="Wingdings" w:hint="default"/>
        <w:sz w:val="20"/>
      </w:rPr>
    </w:lvl>
    <w:lvl w:ilvl="4" w:tentative="0">
      <w:start w:val="1"/>
      <w:numFmt w:val="bullet"/>
      <w:lvlText w:val=""/>
      <w:lvlJc w:val="left"/>
      <w:pPr>
        <w:tabs>
          <w:tab w:val="num" w:pos="3600"/>
        </w:tabs>
        <w:ind w:left="3600" w:hanging="360"/>
      </w:pPr>
      <w:rPr>
        <w:rFonts w:ascii="Wingdings" w:hAnsi="Wingdings" w:hint="default"/>
        <w:sz w:val="20"/>
      </w:rPr>
    </w:lvl>
    <w:lvl w:ilvl="5" w:tentative="0">
      <w:start w:val="1"/>
      <w:numFmt w:val="bullet"/>
      <w:lvlText w:val=""/>
      <w:lvlJc w:val="left"/>
      <w:pPr>
        <w:tabs>
          <w:tab w:val="num" w:pos="4320"/>
        </w:tabs>
        <w:ind w:left="4320" w:hanging="360"/>
      </w:pPr>
      <w:rPr>
        <w:rFonts w:ascii="Wingdings" w:hAnsi="Wingdings" w:hint="default"/>
        <w:sz w:val="20"/>
      </w:rPr>
    </w:lvl>
    <w:lvl w:ilvl="6" w:tentative="0">
      <w:start w:val="1"/>
      <w:numFmt w:val="bullet"/>
      <w:lvlText w:val=""/>
      <w:lvlJc w:val="left"/>
      <w:pPr>
        <w:tabs>
          <w:tab w:val="num" w:pos="5040"/>
        </w:tabs>
        <w:ind w:left="5040" w:hanging="360"/>
      </w:pPr>
      <w:rPr>
        <w:rFonts w:ascii="Wingdings" w:hAnsi="Wingdings" w:hint="default"/>
        <w:sz w:val="20"/>
      </w:rPr>
    </w:lvl>
    <w:lvl w:ilvl="7" w:tentative="0">
      <w:start w:val="1"/>
      <w:numFmt w:val="bullet"/>
      <w:lvlText w:val=""/>
      <w:lvlJc w:val="left"/>
      <w:pPr>
        <w:tabs>
          <w:tab w:val="num" w:pos="5760"/>
        </w:tabs>
        <w:ind w:left="5760" w:hanging="360"/>
      </w:pPr>
      <w:rPr>
        <w:rFonts w:ascii="Wingdings" w:hAnsi="Wingdings" w:hint="default"/>
        <w:sz w:val="20"/>
      </w:rPr>
    </w:lvl>
    <w:lvl w:ilvl="8" w:tentative="0">
      <w:start w:val="1"/>
      <w:numFmt w:val="bullet"/>
      <w:lvlText w:val=""/>
      <w:lvlJc w:val="left"/>
      <w:pPr>
        <w:tabs>
          <w:tab w:val="num" w:pos="6480"/>
        </w:tabs>
        <w:ind w:left="6480" w:hanging="360"/>
      </w:pPr>
      <w:rPr>
        <w:rFonts w:ascii="Wingdings" w:hAnsi="Wingdings" w:hint="default"/>
        <w:sz w:val="20"/>
      </w:rPr>
    </w:lvl>
  </w:abstractNum>
  <w:abstractNum w:abstractNumId="2">
    <w:multiLevelType w:val="hybridMultilevel"/>
    <w:lvl w:ilvl="0" w:tentative="0">
      <w:start w:val="1"/>
      <w:numFmt w:val="bullet"/>
      <w:lvlText w:val=""/>
      <w:lvlJc w:val="left"/>
      <w:pPr>
        <w:ind w:left="720" w:hanging="360"/>
      </w:pPr>
      <w:rPr>
        <w:rFonts w:ascii="Symbol" w:hAnsi="Symbol"/>
      </w:rPr>
    </w:lvl>
    <w:lvl w:ilvl="1" w:tentative="0">
      <w:start w:val="1"/>
      <w:numFmt w:val="bullet"/>
      <w:lvlText w:val="o"/>
      <w:lvlJc w:val="left"/>
      <w:pPr>
        <w:ind w:left="1440" w:hanging="360"/>
      </w:pPr>
      <w:rPr>
        <w:rFonts w:ascii="Courier New" w:hAnsi="Courier New"/>
      </w:rPr>
    </w:lvl>
    <w:lvl w:ilvl="2" w:tentative="0">
      <w:start w:val="1"/>
      <w:numFmt w:val="bullet"/>
      <w:lvlText w:val=""/>
      <w:lvlJc w:val="left"/>
      <w:pPr>
        <w:ind w:left="2160" w:hanging="360"/>
      </w:pPr>
      <w:rPr>
        <w:rFonts w:ascii="Wingdings" w:hAnsi="Wingdings"/>
      </w:rPr>
    </w:lvl>
    <w:lvl w:ilvl="3" w:tentative="0">
      <w:start w:val="1"/>
      <w:numFmt w:val="bullet"/>
      <w:lvlText w:val=""/>
      <w:lvlJc w:val="left"/>
      <w:pPr>
        <w:ind w:left="2880" w:hanging="360"/>
      </w:pPr>
      <w:rPr>
        <w:rFonts w:ascii="Symbol" w:hAnsi="Symbol"/>
      </w:rPr>
    </w:lvl>
    <w:lvl w:ilvl="4" w:tentative="0">
      <w:start w:val="1"/>
      <w:numFmt w:val="bullet"/>
      <w:lvlText w:val="o"/>
      <w:lvlJc w:val="left"/>
      <w:pPr>
        <w:ind w:left="3600" w:hanging="360"/>
      </w:pPr>
      <w:rPr>
        <w:rFonts w:ascii="Courier New" w:hAnsi="Courier New"/>
      </w:rPr>
    </w:lvl>
    <w:lvl w:ilvl="5" w:tentative="0">
      <w:start w:val="1"/>
      <w:numFmt w:val="bullet"/>
      <w:lvlText w:val=""/>
      <w:lvlJc w:val="left"/>
      <w:pPr>
        <w:ind w:left="4320" w:hanging="360"/>
      </w:pPr>
      <w:rPr>
        <w:rFonts w:ascii="Wingdings" w:hAnsi="Wingdings"/>
      </w:rPr>
    </w:lvl>
    <w:lvl w:ilvl="6" w:tentative="0">
      <w:start w:val="1"/>
      <w:numFmt w:val="bullet"/>
      <w:lvlText w:val=""/>
      <w:lvlJc w:val="left"/>
      <w:pPr>
        <w:ind w:left="5040" w:hanging="360"/>
      </w:pPr>
      <w:rPr>
        <w:rFonts w:ascii="Symbol" w:hAnsi="Symbol"/>
      </w:rPr>
    </w:lvl>
    <w:lvl w:ilvl="7" w:tentative="0">
      <w:start w:val="1"/>
      <w:numFmt w:val="bullet"/>
      <w:lvlText w:val="o"/>
      <w:lvlJc w:val="left"/>
      <w:pPr>
        <w:ind w:left="5760" w:hanging="360"/>
      </w:pPr>
      <w:rPr>
        <w:rFonts w:ascii="Courier New" w:hAnsi="Courier New"/>
      </w:rPr>
    </w:lvl>
    <w:lvl w:ilvl="8" w:tentative="0">
      <w:start w:val="1"/>
      <w:numFmt w:val="bullet"/>
      <w:lvlText w:val=""/>
      <w:lvlJc w:val="left"/>
      <w:pPr>
        <w:ind w:left="6480" w:hanging="360"/>
      </w:pPr>
      <w:rPr>
        <w:rFonts w:ascii="Wingdings" w:hAnsi="Wingdings"/>
      </w:rPr>
    </w:lvl>
  </w:abstractNum>
  <w:abstractNum w:abstractNumId="3">
    <w:multiLevelType w:val="hybridMultilevel"/>
    <w:lvl w:ilvl="0" w:tentative="0">
      <w:start w:val="1"/>
      <w:numFmt w:val="bullet"/>
      <w:lvlText w:val=""/>
      <w:lvlJc w:val="left"/>
      <w:pPr>
        <w:ind w:left="720" w:hanging="360"/>
      </w:pPr>
      <w:rPr>
        <w:rFonts w:ascii="Symbol" w:hAnsi="Symbol"/>
      </w:rPr>
    </w:lvl>
    <w:lvl w:ilvl="1" w:tentative="0">
      <w:start w:val="1"/>
      <w:numFmt w:val="bullet"/>
      <w:lvlText w:val="o"/>
      <w:lvlJc w:val="left"/>
      <w:pPr>
        <w:ind w:left="1440" w:hanging="360"/>
      </w:pPr>
      <w:rPr>
        <w:rFonts w:ascii="Courier New" w:hAnsi="Courier New"/>
      </w:rPr>
    </w:lvl>
    <w:lvl w:ilvl="2" w:tentative="0">
      <w:start w:val="1"/>
      <w:numFmt w:val="bullet"/>
      <w:lvlText w:val=""/>
      <w:lvlJc w:val="left"/>
      <w:pPr>
        <w:ind w:left="2160" w:hanging="360"/>
      </w:pPr>
      <w:rPr>
        <w:rFonts w:ascii="Wingdings" w:hAnsi="Wingdings"/>
      </w:rPr>
    </w:lvl>
    <w:lvl w:ilvl="3" w:tentative="0">
      <w:start w:val="1"/>
      <w:numFmt w:val="bullet"/>
      <w:lvlText w:val=""/>
      <w:lvlJc w:val="left"/>
      <w:pPr>
        <w:ind w:left="2880" w:hanging="360"/>
      </w:pPr>
      <w:rPr>
        <w:rFonts w:ascii="Symbol" w:hAnsi="Symbol"/>
      </w:rPr>
    </w:lvl>
    <w:lvl w:ilvl="4" w:tentative="0">
      <w:start w:val="1"/>
      <w:numFmt w:val="bullet"/>
      <w:lvlText w:val="o"/>
      <w:lvlJc w:val="left"/>
      <w:pPr>
        <w:ind w:left="3600" w:hanging="360"/>
      </w:pPr>
      <w:rPr>
        <w:rFonts w:ascii="Courier New" w:hAnsi="Courier New"/>
      </w:rPr>
    </w:lvl>
    <w:lvl w:ilvl="5" w:tentative="0">
      <w:start w:val="1"/>
      <w:numFmt w:val="bullet"/>
      <w:lvlText w:val=""/>
      <w:lvlJc w:val="left"/>
      <w:pPr>
        <w:ind w:left="4320" w:hanging="360"/>
      </w:pPr>
      <w:rPr>
        <w:rFonts w:ascii="Wingdings" w:hAnsi="Wingdings"/>
      </w:rPr>
    </w:lvl>
    <w:lvl w:ilvl="6" w:tentative="0">
      <w:start w:val="1"/>
      <w:numFmt w:val="bullet"/>
      <w:lvlText w:val=""/>
      <w:lvlJc w:val="left"/>
      <w:pPr>
        <w:ind w:left="5040" w:hanging="360"/>
      </w:pPr>
      <w:rPr>
        <w:rFonts w:ascii="Symbol" w:hAnsi="Symbol"/>
      </w:rPr>
    </w:lvl>
    <w:lvl w:ilvl="7" w:tentative="0">
      <w:start w:val="1"/>
      <w:numFmt w:val="bullet"/>
      <w:lvlText w:val="o"/>
      <w:lvlJc w:val="left"/>
      <w:pPr>
        <w:ind w:left="5760" w:hanging="360"/>
      </w:pPr>
      <w:rPr>
        <w:rFonts w:ascii="Courier New" w:hAnsi="Courier New"/>
      </w:rPr>
    </w:lvl>
    <w:lvl w:ilvl="8" w:tentative="0">
      <w:start w:val="1"/>
      <w:numFmt w:val="bullet"/>
      <w:lvlText w:val=""/>
      <w:lvlJc w:val="left"/>
      <w:pPr>
        <w:ind w:left="6480" w:hanging="360"/>
      </w:pPr>
      <w:rPr>
        <w:rFonts w:ascii="Wingdings" w:hAnsi="Wingdings"/>
      </w:rPr>
    </w:lvl>
  </w:abstractNum>
  <w:abstractNum w:abstractNumId="4">
    <w:multiLevelType w:val="hybridMultilevel"/>
    <w:lvl w:ilvl="0" w:tentative="0">
      <w:start w:val="1"/>
      <w:numFmt w:val="bullet"/>
      <w:lvlText w:val=""/>
      <w:lvlJc w:val="left"/>
      <w:pPr>
        <w:ind w:left="720" w:hanging="360"/>
      </w:pPr>
      <w:rPr>
        <w:rFonts w:ascii="Symbol" w:hAnsi="Symbol"/>
      </w:rPr>
    </w:lvl>
    <w:lvl w:ilvl="1" w:tentative="0">
      <w:start w:val="1"/>
      <w:numFmt w:val="bullet"/>
      <w:lvlText w:val="o"/>
      <w:lvlJc w:val="left"/>
      <w:pPr>
        <w:ind w:left="1440" w:hanging="360"/>
      </w:pPr>
      <w:rPr>
        <w:rFonts w:ascii="Courier New" w:hAnsi="Courier New"/>
      </w:rPr>
    </w:lvl>
    <w:lvl w:ilvl="2" w:tentative="0">
      <w:start w:val="1"/>
      <w:numFmt w:val="bullet"/>
      <w:lvlText w:val=""/>
      <w:lvlJc w:val="left"/>
      <w:pPr>
        <w:ind w:left="2160" w:hanging="360"/>
      </w:pPr>
      <w:rPr>
        <w:rFonts w:ascii="Wingdings" w:hAnsi="Wingdings"/>
      </w:rPr>
    </w:lvl>
    <w:lvl w:ilvl="3" w:tentative="0">
      <w:start w:val="1"/>
      <w:numFmt w:val="bullet"/>
      <w:lvlText w:val=""/>
      <w:lvlJc w:val="left"/>
      <w:pPr>
        <w:ind w:left="2880" w:hanging="360"/>
      </w:pPr>
      <w:rPr>
        <w:rFonts w:ascii="Symbol" w:hAnsi="Symbol"/>
      </w:rPr>
    </w:lvl>
    <w:lvl w:ilvl="4" w:tentative="0">
      <w:start w:val="1"/>
      <w:numFmt w:val="bullet"/>
      <w:lvlText w:val="o"/>
      <w:lvlJc w:val="left"/>
      <w:pPr>
        <w:ind w:left="3600" w:hanging="360"/>
      </w:pPr>
      <w:rPr>
        <w:rFonts w:ascii="Courier New" w:hAnsi="Courier New"/>
      </w:rPr>
    </w:lvl>
    <w:lvl w:ilvl="5" w:tentative="0">
      <w:start w:val="1"/>
      <w:numFmt w:val="bullet"/>
      <w:lvlText w:val=""/>
      <w:lvlJc w:val="left"/>
      <w:pPr>
        <w:ind w:left="4320" w:hanging="360"/>
      </w:pPr>
      <w:rPr>
        <w:rFonts w:ascii="Wingdings" w:hAnsi="Wingdings"/>
      </w:rPr>
    </w:lvl>
    <w:lvl w:ilvl="6" w:tentative="0">
      <w:start w:val="1"/>
      <w:numFmt w:val="bullet"/>
      <w:lvlText w:val=""/>
      <w:lvlJc w:val="left"/>
      <w:pPr>
        <w:ind w:left="5040" w:hanging="360"/>
      </w:pPr>
      <w:rPr>
        <w:rFonts w:ascii="Symbol" w:hAnsi="Symbol"/>
      </w:rPr>
    </w:lvl>
    <w:lvl w:ilvl="7" w:tentative="0">
      <w:start w:val="1"/>
      <w:numFmt w:val="bullet"/>
      <w:lvlText w:val="o"/>
      <w:lvlJc w:val="left"/>
      <w:pPr>
        <w:ind w:left="5760" w:hanging="360"/>
      </w:pPr>
      <w:rPr>
        <w:rFonts w:ascii="Courier New" w:hAnsi="Courier New"/>
      </w:rPr>
    </w:lvl>
    <w:lvl w:ilvl="8" w:tentative="0">
      <w:start w:val="1"/>
      <w:numFmt w:val="bullet"/>
      <w:lvlText w:val=""/>
      <w:lvlJc w:val="left"/>
      <w:pPr>
        <w:ind w:left="6480" w:hanging="360"/>
      </w:pPr>
      <w:rPr>
        <w:rFonts w:ascii="Wingdings" w:hAnsi="Wingdings"/>
      </w:rPr>
    </w:lvl>
  </w:abstractNum>
  <w:abstractNum w:abstractNumId="5">
    <w:multiLevelType w:val="hybridMultilevel"/>
    <w:lvl w:ilvl="0" w:tentative="0">
      <w:start w:val="1"/>
      <w:numFmt w:val="bullet"/>
      <w:lvlText w:val=""/>
      <w:lvlJc w:val="left"/>
      <w:pPr>
        <w:ind w:left="720" w:hanging="360"/>
      </w:pPr>
      <w:rPr>
        <w:rFonts w:ascii="Symbol" w:hAnsi="Symbol"/>
      </w:rPr>
    </w:lvl>
    <w:lvl w:ilvl="1" w:tentative="0">
      <w:start w:val="1"/>
      <w:numFmt w:val="bullet"/>
      <w:lvlText w:val="o"/>
      <w:lvlJc w:val="left"/>
      <w:pPr>
        <w:ind w:left="1440" w:hanging="360"/>
      </w:pPr>
      <w:rPr>
        <w:rFonts w:ascii="Courier New" w:hAnsi="Courier New"/>
      </w:rPr>
    </w:lvl>
    <w:lvl w:ilvl="2" w:tentative="0">
      <w:start w:val="1"/>
      <w:numFmt w:val="bullet"/>
      <w:lvlText w:val=""/>
      <w:lvlJc w:val="left"/>
      <w:pPr>
        <w:ind w:left="2160" w:hanging="360"/>
      </w:pPr>
      <w:rPr>
        <w:rFonts w:ascii="Wingdings" w:hAnsi="Wingdings"/>
      </w:rPr>
    </w:lvl>
    <w:lvl w:ilvl="3" w:tentative="0">
      <w:start w:val="1"/>
      <w:numFmt w:val="bullet"/>
      <w:lvlText w:val=""/>
      <w:lvlJc w:val="left"/>
      <w:pPr>
        <w:ind w:left="2880" w:hanging="360"/>
      </w:pPr>
      <w:rPr>
        <w:rFonts w:ascii="Symbol" w:hAnsi="Symbol"/>
      </w:rPr>
    </w:lvl>
    <w:lvl w:ilvl="4" w:tentative="0">
      <w:start w:val="1"/>
      <w:numFmt w:val="bullet"/>
      <w:lvlText w:val="o"/>
      <w:lvlJc w:val="left"/>
      <w:pPr>
        <w:ind w:left="3600" w:hanging="360"/>
      </w:pPr>
      <w:rPr>
        <w:rFonts w:ascii="Courier New" w:hAnsi="Courier New"/>
      </w:rPr>
    </w:lvl>
    <w:lvl w:ilvl="5" w:tentative="0">
      <w:start w:val="1"/>
      <w:numFmt w:val="bullet"/>
      <w:lvlText w:val=""/>
      <w:lvlJc w:val="left"/>
      <w:pPr>
        <w:ind w:left="4320" w:hanging="360"/>
      </w:pPr>
      <w:rPr>
        <w:rFonts w:ascii="Wingdings" w:hAnsi="Wingdings"/>
      </w:rPr>
    </w:lvl>
    <w:lvl w:ilvl="6" w:tentative="0">
      <w:start w:val="1"/>
      <w:numFmt w:val="bullet"/>
      <w:lvlText w:val=""/>
      <w:lvlJc w:val="left"/>
      <w:pPr>
        <w:ind w:left="5040" w:hanging="360"/>
      </w:pPr>
      <w:rPr>
        <w:rFonts w:ascii="Symbol" w:hAnsi="Symbol"/>
      </w:rPr>
    </w:lvl>
    <w:lvl w:ilvl="7" w:tentative="0">
      <w:start w:val="1"/>
      <w:numFmt w:val="bullet"/>
      <w:lvlText w:val="o"/>
      <w:lvlJc w:val="left"/>
      <w:pPr>
        <w:ind w:left="5760" w:hanging="360"/>
      </w:pPr>
      <w:rPr>
        <w:rFonts w:ascii="Courier New" w:hAnsi="Courier New"/>
      </w:rPr>
    </w:lvl>
    <w:lvl w:ilvl="8" w:tentative="0">
      <w:start w:val="1"/>
      <w:numFmt w:val="bullet"/>
      <w:lvlText w:val=""/>
      <w:lvlJc w:val="left"/>
      <w:pPr>
        <w:ind w:left="6480" w:hanging="360"/>
      </w:pPr>
      <w:rPr>
        <w:rFonts w:ascii="Wingdings" w:hAnsi="Wingdings"/>
      </w:rPr>
    </w:lvl>
  </w:abstractNum>
  <w:abstractNum w:abstractNumId="6">
    <w:multiLevelType w:val="hybridMultilevel"/>
    <w:lvl w:ilvl="0" w:tentative="0">
      <w:start w:val="1"/>
      <w:numFmt w:val="bullet"/>
      <w:lvlText w:val=""/>
      <w:lvlJc w:val="left"/>
      <w:pPr>
        <w:ind w:left="720" w:hanging="360"/>
      </w:pPr>
      <w:rPr>
        <w:rFonts w:ascii="Symbol" w:hAnsi="Symbol"/>
      </w:rPr>
    </w:lvl>
    <w:lvl w:ilvl="1" w:tentative="0">
      <w:start w:val="1"/>
      <w:numFmt w:val="bullet"/>
      <w:lvlText w:val="o"/>
      <w:lvlJc w:val="left"/>
      <w:pPr>
        <w:ind w:left="1440" w:hanging="360"/>
      </w:pPr>
      <w:rPr>
        <w:rFonts w:ascii="Courier New" w:hAnsi="Courier New"/>
      </w:rPr>
    </w:lvl>
    <w:lvl w:ilvl="2" w:tentative="0">
      <w:start w:val="1"/>
      <w:numFmt w:val="bullet"/>
      <w:lvlText w:val=""/>
      <w:lvlJc w:val="left"/>
      <w:pPr>
        <w:ind w:left="2160" w:hanging="360"/>
      </w:pPr>
      <w:rPr>
        <w:rFonts w:ascii="Wingdings" w:hAnsi="Wingdings"/>
      </w:rPr>
    </w:lvl>
    <w:lvl w:ilvl="3" w:tentative="0">
      <w:start w:val="1"/>
      <w:numFmt w:val="bullet"/>
      <w:lvlText w:val=""/>
      <w:lvlJc w:val="left"/>
      <w:pPr>
        <w:ind w:left="2880" w:hanging="360"/>
      </w:pPr>
      <w:rPr>
        <w:rFonts w:ascii="Symbol" w:hAnsi="Symbol"/>
      </w:rPr>
    </w:lvl>
    <w:lvl w:ilvl="4" w:tentative="0">
      <w:start w:val="1"/>
      <w:numFmt w:val="bullet"/>
      <w:lvlText w:val="o"/>
      <w:lvlJc w:val="left"/>
      <w:pPr>
        <w:ind w:left="3600" w:hanging="360"/>
      </w:pPr>
      <w:rPr>
        <w:rFonts w:ascii="Courier New" w:hAnsi="Courier New"/>
      </w:rPr>
    </w:lvl>
    <w:lvl w:ilvl="5" w:tentative="0">
      <w:start w:val="1"/>
      <w:numFmt w:val="bullet"/>
      <w:lvlText w:val=""/>
      <w:lvlJc w:val="left"/>
      <w:pPr>
        <w:ind w:left="4320" w:hanging="360"/>
      </w:pPr>
      <w:rPr>
        <w:rFonts w:ascii="Wingdings" w:hAnsi="Wingdings"/>
      </w:rPr>
    </w:lvl>
    <w:lvl w:ilvl="6" w:tentative="0">
      <w:start w:val="1"/>
      <w:numFmt w:val="bullet"/>
      <w:lvlText w:val=""/>
      <w:lvlJc w:val="left"/>
      <w:pPr>
        <w:ind w:left="5040" w:hanging="360"/>
      </w:pPr>
      <w:rPr>
        <w:rFonts w:ascii="Symbol" w:hAnsi="Symbol"/>
      </w:rPr>
    </w:lvl>
    <w:lvl w:ilvl="7" w:tentative="0">
      <w:start w:val="1"/>
      <w:numFmt w:val="bullet"/>
      <w:lvlText w:val="o"/>
      <w:lvlJc w:val="left"/>
      <w:pPr>
        <w:ind w:left="5760" w:hanging="360"/>
      </w:pPr>
      <w:rPr>
        <w:rFonts w:ascii="Courier New" w:hAnsi="Courier New"/>
      </w:rPr>
    </w:lvl>
    <w:lvl w:ilvl="8" w:tentative="0">
      <w:start w:val="1"/>
      <w:numFmt w:val="bullet"/>
      <w:lvlText w:val=""/>
      <w:lvlJc w:val="left"/>
      <w:pPr>
        <w:ind w:left="6480" w:hanging="360"/>
      </w:pPr>
      <w:rPr>
        <w:rFonts w:ascii="Wingdings" w:hAnsi="Wingdings"/>
      </w:rPr>
    </w:lvl>
  </w:abstractNum>
  <w:abstractNum w:abstractNumId="7">
    <w:multiLevelType w:val="hybridMultilevel"/>
    <w:lvl w:ilvl="0" w:tentative="0">
      <w:start w:val="1"/>
      <w:numFmt w:val="bullet"/>
      <w:lvlText w:val=""/>
      <w:lvlJc w:val="left"/>
      <w:pPr>
        <w:ind w:left="720" w:hanging="360"/>
      </w:pPr>
      <w:rPr>
        <w:rFonts w:ascii="Symbol" w:hAnsi="Symbol"/>
      </w:rPr>
    </w:lvl>
    <w:lvl w:ilvl="1" w:tentative="0">
      <w:start w:val="1"/>
      <w:numFmt w:val="bullet"/>
      <w:lvlText w:val="o"/>
      <w:lvlJc w:val="left"/>
      <w:pPr>
        <w:ind w:left="1440" w:hanging="360"/>
      </w:pPr>
      <w:rPr>
        <w:rFonts w:ascii="Courier New" w:hAnsi="Courier New"/>
      </w:rPr>
    </w:lvl>
    <w:lvl w:ilvl="2" w:tentative="0">
      <w:start w:val="1"/>
      <w:numFmt w:val="bullet"/>
      <w:lvlText w:val=""/>
      <w:lvlJc w:val="left"/>
      <w:pPr>
        <w:ind w:left="2160" w:hanging="360"/>
      </w:pPr>
      <w:rPr>
        <w:rFonts w:ascii="Wingdings" w:hAnsi="Wingdings"/>
      </w:rPr>
    </w:lvl>
    <w:lvl w:ilvl="3" w:tentative="0">
      <w:start w:val="1"/>
      <w:numFmt w:val="bullet"/>
      <w:lvlText w:val=""/>
      <w:lvlJc w:val="left"/>
      <w:pPr>
        <w:ind w:left="2880" w:hanging="360"/>
      </w:pPr>
      <w:rPr>
        <w:rFonts w:ascii="Symbol" w:hAnsi="Symbol"/>
      </w:rPr>
    </w:lvl>
    <w:lvl w:ilvl="4" w:tentative="0">
      <w:start w:val="1"/>
      <w:numFmt w:val="bullet"/>
      <w:lvlText w:val="o"/>
      <w:lvlJc w:val="left"/>
      <w:pPr>
        <w:ind w:left="3600" w:hanging="360"/>
      </w:pPr>
      <w:rPr>
        <w:rFonts w:ascii="Courier New" w:hAnsi="Courier New"/>
      </w:rPr>
    </w:lvl>
    <w:lvl w:ilvl="5" w:tentative="0">
      <w:start w:val="1"/>
      <w:numFmt w:val="bullet"/>
      <w:lvlText w:val=""/>
      <w:lvlJc w:val="left"/>
      <w:pPr>
        <w:ind w:left="4320" w:hanging="360"/>
      </w:pPr>
      <w:rPr>
        <w:rFonts w:ascii="Wingdings" w:hAnsi="Wingdings"/>
      </w:rPr>
    </w:lvl>
    <w:lvl w:ilvl="6" w:tentative="0">
      <w:start w:val="1"/>
      <w:numFmt w:val="bullet"/>
      <w:lvlText w:val=""/>
      <w:lvlJc w:val="left"/>
      <w:pPr>
        <w:ind w:left="5040" w:hanging="360"/>
      </w:pPr>
      <w:rPr>
        <w:rFonts w:ascii="Symbol" w:hAnsi="Symbol"/>
      </w:rPr>
    </w:lvl>
    <w:lvl w:ilvl="7" w:tentative="0">
      <w:start w:val="1"/>
      <w:numFmt w:val="bullet"/>
      <w:lvlText w:val="o"/>
      <w:lvlJc w:val="left"/>
      <w:pPr>
        <w:ind w:left="5760" w:hanging="360"/>
      </w:pPr>
      <w:rPr>
        <w:rFonts w:ascii="Courier New" w:hAnsi="Courier New"/>
      </w:rPr>
    </w:lvl>
    <w:lvl w:ilvl="8" w:tentative="0">
      <w:start w:val="1"/>
      <w:numFmt w:val="bullet"/>
      <w:lvlText w:val=""/>
      <w:lvlJc w:val="left"/>
      <w:pPr>
        <w:ind w:left="6480" w:hanging="360"/>
      </w:pPr>
      <w:rPr>
        <w:rFonts w:ascii="Wingdings" w:hAnsi="Wingdings"/>
      </w:rPr>
    </w:lvl>
  </w:abstractNum>
  <w:abstractNum w:abstractNumId="8">
    <w:multiLevelType w:val="hybridMultilevel"/>
    <w:lvl w:ilvl="0" w:tentative="0">
      <w:start w:val="1"/>
      <w:numFmt w:val="bullet"/>
      <w:lvlText w:val=""/>
      <w:lvlJc w:val="left"/>
      <w:pPr>
        <w:ind w:left="720" w:hanging="360"/>
      </w:pPr>
      <w:rPr>
        <w:rFonts w:ascii="Symbol" w:hAnsi="Symbol"/>
      </w:rPr>
    </w:lvl>
    <w:lvl w:ilvl="1" w:tentative="0">
      <w:start w:val="1"/>
      <w:numFmt w:val="bullet"/>
      <w:lvlText w:val="o"/>
      <w:lvlJc w:val="left"/>
      <w:pPr>
        <w:ind w:left="1440" w:hanging="360"/>
      </w:pPr>
      <w:rPr>
        <w:rFonts w:ascii="Courier New" w:hAnsi="Courier New"/>
      </w:rPr>
    </w:lvl>
    <w:lvl w:ilvl="2" w:tentative="0">
      <w:start w:val="1"/>
      <w:numFmt w:val="bullet"/>
      <w:lvlText w:val=""/>
      <w:lvlJc w:val="left"/>
      <w:pPr>
        <w:ind w:left="2160" w:hanging="360"/>
      </w:pPr>
      <w:rPr>
        <w:rFonts w:ascii="Wingdings" w:hAnsi="Wingdings"/>
      </w:rPr>
    </w:lvl>
    <w:lvl w:ilvl="3" w:tentative="0">
      <w:start w:val="1"/>
      <w:numFmt w:val="bullet"/>
      <w:lvlText w:val=""/>
      <w:lvlJc w:val="left"/>
      <w:pPr>
        <w:ind w:left="2880" w:hanging="360"/>
      </w:pPr>
      <w:rPr>
        <w:rFonts w:ascii="Symbol" w:hAnsi="Symbol"/>
      </w:rPr>
    </w:lvl>
    <w:lvl w:ilvl="4" w:tentative="0">
      <w:start w:val="1"/>
      <w:numFmt w:val="bullet"/>
      <w:lvlText w:val="o"/>
      <w:lvlJc w:val="left"/>
      <w:pPr>
        <w:ind w:left="3600" w:hanging="360"/>
      </w:pPr>
      <w:rPr>
        <w:rFonts w:ascii="Courier New" w:hAnsi="Courier New"/>
      </w:rPr>
    </w:lvl>
    <w:lvl w:ilvl="5" w:tentative="0">
      <w:start w:val="1"/>
      <w:numFmt w:val="bullet"/>
      <w:lvlText w:val=""/>
      <w:lvlJc w:val="left"/>
      <w:pPr>
        <w:ind w:left="4320" w:hanging="360"/>
      </w:pPr>
      <w:rPr>
        <w:rFonts w:ascii="Wingdings" w:hAnsi="Wingdings"/>
      </w:rPr>
    </w:lvl>
    <w:lvl w:ilvl="6" w:tentative="0">
      <w:start w:val="1"/>
      <w:numFmt w:val="bullet"/>
      <w:lvlText w:val=""/>
      <w:lvlJc w:val="left"/>
      <w:pPr>
        <w:ind w:left="5040" w:hanging="360"/>
      </w:pPr>
      <w:rPr>
        <w:rFonts w:ascii="Symbol" w:hAnsi="Symbol"/>
      </w:rPr>
    </w:lvl>
    <w:lvl w:ilvl="7" w:tentative="0">
      <w:start w:val="1"/>
      <w:numFmt w:val="bullet"/>
      <w:lvlText w:val="o"/>
      <w:lvlJc w:val="left"/>
      <w:pPr>
        <w:ind w:left="5760" w:hanging="360"/>
      </w:pPr>
      <w:rPr>
        <w:rFonts w:ascii="Courier New" w:hAnsi="Courier New"/>
      </w:rPr>
    </w:lvl>
    <w:lvl w:ilvl="8" w:tentative="0">
      <w:start w:val="1"/>
      <w:numFmt w:val="bullet"/>
      <w:lvlText w:val=""/>
      <w:lvlJc w:val="left"/>
      <w:pPr>
        <w:ind w:left="6480" w:hanging="360"/>
      </w:pPr>
      <w:rPr>
        <w:rFonts w:ascii="Wingdings" w:hAnsi="Wingdings"/>
      </w:rPr>
    </w:lvl>
  </w:abstractNum>
  <w:abstractNum w:abstractNumId="9">
    <w:multiLevelType w:val="hybridMultilevel"/>
    <w:lvl w:ilvl="0" w:tentative="0">
      <w:start w:val="1"/>
      <w:numFmt w:val="bullet"/>
      <w:lvlText w:val=""/>
      <w:lvlJc w:val="left"/>
      <w:pPr>
        <w:ind w:left="720" w:hanging="360"/>
      </w:pPr>
      <w:rPr>
        <w:rFonts w:ascii="Symbol" w:hAnsi="Symbol"/>
      </w:rPr>
    </w:lvl>
    <w:lvl w:ilvl="1" w:tentative="0">
      <w:start w:val="1"/>
      <w:numFmt w:val="bullet"/>
      <w:lvlText w:val="o"/>
      <w:lvlJc w:val="left"/>
      <w:pPr>
        <w:ind w:left="1440" w:hanging="360"/>
      </w:pPr>
      <w:rPr>
        <w:rFonts w:ascii="Courier New" w:hAnsi="Courier New"/>
      </w:rPr>
    </w:lvl>
    <w:lvl w:ilvl="2" w:tentative="0">
      <w:start w:val="1"/>
      <w:numFmt w:val="bullet"/>
      <w:lvlText w:val=""/>
      <w:lvlJc w:val="left"/>
      <w:pPr>
        <w:ind w:left="2160" w:hanging="360"/>
      </w:pPr>
      <w:rPr>
        <w:rFonts w:ascii="Wingdings" w:hAnsi="Wingdings"/>
      </w:rPr>
    </w:lvl>
    <w:lvl w:ilvl="3" w:tentative="0">
      <w:start w:val="1"/>
      <w:numFmt w:val="bullet"/>
      <w:lvlText w:val=""/>
      <w:lvlJc w:val="left"/>
      <w:pPr>
        <w:ind w:left="2880" w:hanging="360"/>
      </w:pPr>
      <w:rPr>
        <w:rFonts w:ascii="Symbol" w:hAnsi="Symbol"/>
      </w:rPr>
    </w:lvl>
    <w:lvl w:ilvl="4" w:tentative="0">
      <w:start w:val="1"/>
      <w:numFmt w:val="bullet"/>
      <w:lvlText w:val="o"/>
      <w:lvlJc w:val="left"/>
      <w:pPr>
        <w:ind w:left="3600" w:hanging="360"/>
      </w:pPr>
      <w:rPr>
        <w:rFonts w:ascii="Courier New" w:hAnsi="Courier New"/>
      </w:rPr>
    </w:lvl>
    <w:lvl w:ilvl="5" w:tentative="0">
      <w:start w:val="1"/>
      <w:numFmt w:val="bullet"/>
      <w:lvlText w:val=""/>
      <w:lvlJc w:val="left"/>
      <w:pPr>
        <w:ind w:left="4320" w:hanging="360"/>
      </w:pPr>
      <w:rPr>
        <w:rFonts w:ascii="Wingdings" w:hAnsi="Wingdings"/>
      </w:rPr>
    </w:lvl>
    <w:lvl w:ilvl="6" w:tentative="0">
      <w:start w:val="1"/>
      <w:numFmt w:val="bullet"/>
      <w:lvlText w:val=""/>
      <w:lvlJc w:val="left"/>
      <w:pPr>
        <w:ind w:left="5040" w:hanging="360"/>
      </w:pPr>
      <w:rPr>
        <w:rFonts w:ascii="Symbol" w:hAnsi="Symbol"/>
      </w:rPr>
    </w:lvl>
    <w:lvl w:ilvl="7" w:tentative="0">
      <w:start w:val="1"/>
      <w:numFmt w:val="bullet"/>
      <w:lvlText w:val="o"/>
      <w:lvlJc w:val="left"/>
      <w:pPr>
        <w:ind w:left="5760" w:hanging="360"/>
      </w:pPr>
      <w:rPr>
        <w:rFonts w:ascii="Courier New" w:hAnsi="Courier New"/>
      </w:rPr>
    </w:lvl>
    <w:lvl w:ilvl="8" w:tentative="0">
      <w:start w:val="1"/>
      <w:numFmt w:val="bullet"/>
      <w:lvlText w:val=""/>
      <w:lvlJc w:val="left"/>
      <w:pPr>
        <w:ind w:left="6480" w:hanging="360"/>
      </w:pPr>
      <w:rPr>
        <w:rFonts w:ascii="Wingdings" w:hAnsi="Wingdings"/>
      </w:rPr>
    </w:lvl>
  </w:abstractNum>
  <w:abstractNum w:abstractNumId="10">
    <w:multiLevelType w:val="hybridMultilevel"/>
    <w:lvl w:ilvl="0" w:tentative="0">
      <w:start w:val="1"/>
      <w:numFmt w:val="bullet"/>
      <w:lvlText w:val=""/>
      <w:lvlJc w:val="left"/>
      <w:pPr>
        <w:ind w:left="6455" w:hanging="360"/>
      </w:pPr>
      <w:rPr>
        <w:rFonts w:ascii="Symbol" w:hAnsi="Symbol"/>
      </w:rPr>
    </w:lvl>
    <w:lvl w:ilvl="1" w:tentative="0">
      <w:start w:val="1"/>
      <w:numFmt w:val="bullet"/>
      <w:lvlText w:val="o"/>
      <w:lvlJc w:val="left"/>
      <w:pPr>
        <w:ind w:left="7175" w:hanging="360"/>
      </w:pPr>
      <w:rPr>
        <w:rFonts w:ascii="Courier New" w:hAnsi="Courier New"/>
      </w:rPr>
    </w:lvl>
    <w:lvl w:ilvl="2" w:tentative="0">
      <w:start w:val="1"/>
      <w:numFmt w:val="bullet"/>
      <w:lvlText w:val=""/>
      <w:lvlJc w:val="left"/>
      <w:pPr>
        <w:ind w:left="7895" w:hanging="360"/>
      </w:pPr>
      <w:rPr>
        <w:rFonts w:ascii="Wingdings" w:hAnsi="Wingdings"/>
      </w:rPr>
    </w:lvl>
    <w:lvl w:ilvl="3" w:tentative="0">
      <w:start w:val="1"/>
      <w:numFmt w:val="bullet"/>
      <w:lvlText w:val=""/>
      <w:lvlJc w:val="left"/>
      <w:pPr>
        <w:ind w:left="8615" w:hanging="360"/>
      </w:pPr>
      <w:rPr>
        <w:rFonts w:ascii="Symbol" w:hAnsi="Symbol"/>
      </w:rPr>
    </w:lvl>
    <w:lvl w:ilvl="4" w:tentative="0">
      <w:start w:val="1"/>
      <w:numFmt w:val="bullet"/>
      <w:lvlText w:val="o"/>
      <w:lvlJc w:val="left"/>
      <w:pPr>
        <w:ind w:left="9335" w:hanging="360"/>
      </w:pPr>
      <w:rPr>
        <w:rFonts w:ascii="Courier New" w:hAnsi="Courier New"/>
      </w:rPr>
    </w:lvl>
    <w:lvl w:ilvl="5" w:tentative="0">
      <w:start w:val="1"/>
      <w:numFmt w:val="bullet"/>
      <w:lvlText w:val=""/>
      <w:lvlJc w:val="left"/>
      <w:pPr>
        <w:ind w:left="10055" w:hanging="360"/>
      </w:pPr>
      <w:rPr>
        <w:rFonts w:ascii="Wingdings" w:hAnsi="Wingdings"/>
      </w:rPr>
    </w:lvl>
    <w:lvl w:ilvl="6" w:tentative="0">
      <w:start w:val="1"/>
      <w:numFmt w:val="bullet"/>
      <w:lvlText w:val=""/>
      <w:lvlJc w:val="left"/>
      <w:pPr>
        <w:ind w:left="10775" w:hanging="360"/>
      </w:pPr>
      <w:rPr>
        <w:rFonts w:ascii="Symbol" w:hAnsi="Symbol"/>
      </w:rPr>
    </w:lvl>
    <w:lvl w:ilvl="7" w:tentative="0">
      <w:start w:val="1"/>
      <w:numFmt w:val="bullet"/>
      <w:lvlText w:val="o"/>
      <w:lvlJc w:val="left"/>
      <w:pPr>
        <w:ind w:left="11495" w:hanging="360"/>
      </w:pPr>
      <w:rPr>
        <w:rFonts w:ascii="Courier New" w:hAnsi="Courier New"/>
      </w:rPr>
    </w:lvl>
    <w:lvl w:ilvl="8" w:tentative="0">
      <w:start w:val="1"/>
      <w:numFmt w:val="bullet"/>
      <w:lvlText w:val=""/>
      <w:lvlJc w:val="left"/>
      <w:pPr>
        <w:ind w:left="12215" w:hanging="360"/>
      </w:pPr>
      <w:rPr>
        <w:rFonts w:ascii="Wingdings" w:hAnsi="Wingdings"/>
      </w:rPr>
    </w:lvl>
  </w:abstractNum>
  <w:abstractNum w:abstractNumId="11">
    <w:multiLevelType w:val="hybridMultilevel"/>
    <w:lvl w:ilvl="0" w:tentative="0">
      <w:start w:val="1"/>
      <w:numFmt w:val="bullet"/>
      <w:lvlText w:val=""/>
      <w:lvlJc w:val="left"/>
      <w:pPr>
        <w:ind w:left="720" w:hanging="360"/>
      </w:pPr>
      <w:rPr>
        <w:rFonts w:ascii="Symbol" w:hAnsi="Symbol"/>
      </w:rPr>
    </w:lvl>
    <w:lvl w:ilvl="1" w:tentative="0">
      <w:start w:val="1"/>
      <w:numFmt w:val="bullet"/>
      <w:lvlText w:val="o"/>
      <w:lvlJc w:val="left"/>
      <w:pPr>
        <w:ind w:left="1440" w:hanging="360"/>
      </w:pPr>
      <w:rPr>
        <w:rFonts w:ascii="Courier New" w:hAnsi="Courier New"/>
      </w:rPr>
    </w:lvl>
    <w:lvl w:ilvl="2" w:tentative="0">
      <w:start w:val="1"/>
      <w:numFmt w:val="bullet"/>
      <w:lvlText w:val=""/>
      <w:lvlJc w:val="left"/>
      <w:pPr>
        <w:ind w:left="2160" w:hanging="360"/>
      </w:pPr>
      <w:rPr>
        <w:rFonts w:ascii="Wingdings" w:hAnsi="Wingdings"/>
      </w:rPr>
    </w:lvl>
    <w:lvl w:ilvl="3" w:tentative="0">
      <w:start w:val="1"/>
      <w:numFmt w:val="bullet"/>
      <w:lvlText w:val=""/>
      <w:lvlJc w:val="left"/>
      <w:pPr>
        <w:ind w:left="2880" w:hanging="360"/>
      </w:pPr>
      <w:rPr>
        <w:rFonts w:ascii="Symbol" w:hAnsi="Symbol"/>
      </w:rPr>
    </w:lvl>
    <w:lvl w:ilvl="4" w:tentative="0">
      <w:start w:val="1"/>
      <w:numFmt w:val="bullet"/>
      <w:lvlText w:val="o"/>
      <w:lvlJc w:val="left"/>
      <w:pPr>
        <w:ind w:left="3600" w:hanging="360"/>
      </w:pPr>
      <w:rPr>
        <w:rFonts w:ascii="Courier New" w:hAnsi="Courier New"/>
      </w:rPr>
    </w:lvl>
    <w:lvl w:ilvl="5" w:tentative="0">
      <w:start w:val="1"/>
      <w:numFmt w:val="bullet"/>
      <w:lvlText w:val=""/>
      <w:lvlJc w:val="left"/>
      <w:pPr>
        <w:ind w:left="4320" w:hanging="360"/>
      </w:pPr>
      <w:rPr>
        <w:rFonts w:ascii="Wingdings" w:hAnsi="Wingdings"/>
      </w:rPr>
    </w:lvl>
    <w:lvl w:ilvl="6" w:tentative="0">
      <w:start w:val="1"/>
      <w:numFmt w:val="bullet"/>
      <w:lvlText w:val=""/>
      <w:lvlJc w:val="left"/>
      <w:pPr>
        <w:ind w:left="5040" w:hanging="360"/>
      </w:pPr>
      <w:rPr>
        <w:rFonts w:ascii="Symbol" w:hAnsi="Symbol"/>
      </w:rPr>
    </w:lvl>
    <w:lvl w:ilvl="7" w:tentative="0">
      <w:start w:val="1"/>
      <w:numFmt w:val="bullet"/>
      <w:lvlText w:val="o"/>
      <w:lvlJc w:val="left"/>
      <w:pPr>
        <w:ind w:left="5760" w:hanging="360"/>
      </w:pPr>
      <w:rPr>
        <w:rFonts w:ascii="Courier New" w:hAnsi="Courier New"/>
      </w:rPr>
    </w:lvl>
    <w:lvl w:ilvl="8" w:tentative="0">
      <w:start w:val="1"/>
      <w:numFmt w:val="bullet"/>
      <w:lvlText w:val=""/>
      <w:lvlJc w:val="left"/>
      <w:pPr>
        <w:ind w:left="6480" w:hanging="360"/>
      </w:pPr>
      <w:rPr>
        <w:rFonts w:ascii="Wingdings" w:hAnsi="Wingdings"/>
      </w:rPr>
    </w:lvl>
  </w:abstractNum>
  <w:abstractNum w:abstractNumId="12">
    <w:multiLevelType w:val="hybridMultilevel"/>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multiLevelType w:val="hybridMultilevel"/>
    <w:lvl w:ilvl="0" w:tentative="0">
      <w:start w:val="1"/>
      <w:numFmt w:val="bullet"/>
      <w:lvlText w:val=""/>
      <w:lvlJc w:val="left"/>
      <w:pPr>
        <w:ind w:left="720" w:hanging="360"/>
      </w:pPr>
      <w:rPr>
        <w:rFonts w:ascii="Symbol" w:hAnsi="Symbol"/>
      </w:rPr>
    </w:lvl>
    <w:lvl w:ilvl="1" w:tentative="0">
      <w:start w:val="1"/>
      <w:numFmt w:val="bullet"/>
      <w:lvlText w:val="o"/>
      <w:lvlJc w:val="left"/>
      <w:pPr>
        <w:ind w:left="1440" w:hanging="360"/>
      </w:pPr>
      <w:rPr>
        <w:rFonts w:ascii="Courier New" w:hAnsi="Courier New"/>
      </w:rPr>
    </w:lvl>
    <w:lvl w:ilvl="2" w:tentative="0">
      <w:start w:val="1"/>
      <w:numFmt w:val="bullet"/>
      <w:lvlText w:val=""/>
      <w:lvlJc w:val="left"/>
      <w:pPr>
        <w:ind w:left="2160" w:hanging="360"/>
      </w:pPr>
      <w:rPr>
        <w:rFonts w:ascii="Wingdings" w:hAnsi="Wingdings"/>
      </w:rPr>
    </w:lvl>
    <w:lvl w:ilvl="3" w:tentative="0">
      <w:start w:val="1"/>
      <w:numFmt w:val="bullet"/>
      <w:lvlText w:val=""/>
      <w:lvlJc w:val="left"/>
      <w:pPr>
        <w:ind w:left="2880" w:hanging="360"/>
      </w:pPr>
      <w:rPr>
        <w:rFonts w:ascii="Symbol" w:hAnsi="Symbol"/>
      </w:rPr>
    </w:lvl>
    <w:lvl w:ilvl="4" w:tentative="0">
      <w:start w:val="1"/>
      <w:numFmt w:val="bullet"/>
      <w:lvlText w:val="o"/>
      <w:lvlJc w:val="left"/>
      <w:pPr>
        <w:ind w:left="3600" w:hanging="360"/>
      </w:pPr>
      <w:rPr>
        <w:rFonts w:ascii="Courier New" w:hAnsi="Courier New"/>
      </w:rPr>
    </w:lvl>
    <w:lvl w:ilvl="5" w:tentative="0">
      <w:start w:val="1"/>
      <w:numFmt w:val="bullet"/>
      <w:lvlText w:val=""/>
      <w:lvlJc w:val="left"/>
      <w:pPr>
        <w:ind w:left="4320" w:hanging="360"/>
      </w:pPr>
      <w:rPr>
        <w:rFonts w:ascii="Wingdings" w:hAnsi="Wingdings"/>
      </w:rPr>
    </w:lvl>
    <w:lvl w:ilvl="6" w:tentative="0">
      <w:start w:val="1"/>
      <w:numFmt w:val="bullet"/>
      <w:lvlText w:val=""/>
      <w:lvlJc w:val="left"/>
      <w:pPr>
        <w:ind w:left="5040" w:hanging="360"/>
      </w:pPr>
      <w:rPr>
        <w:rFonts w:ascii="Symbol" w:hAnsi="Symbol"/>
      </w:rPr>
    </w:lvl>
    <w:lvl w:ilvl="7" w:tentative="0">
      <w:start w:val="1"/>
      <w:numFmt w:val="bullet"/>
      <w:lvlText w:val="o"/>
      <w:lvlJc w:val="left"/>
      <w:pPr>
        <w:ind w:left="5760" w:hanging="360"/>
      </w:pPr>
      <w:rPr>
        <w:rFonts w:ascii="Courier New" w:hAnsi="Courier New"/>
      </w:rPr>
    </w:lvl>
    <w:lvl w:ilvl="8" w:tentative="0">
      <w:start w:val="1"/>
      <w:numFmt w:val="bullet"/>
      <w:lvlText w:val=""/>
      <w:lvlJc w:val="left"/>
      <w:pPr>
        <w:ind w:left="6480" w:hanging="360"/>
      </w:pPr>
      <w:rPr>
        <w:rFonts w:ascii="Wingdings" w:hAnsi="Wingdings"/>
      </w:rPr>
    </w:lvl>
  </w:abstractNum>
  <w:abstractNum w:abstractNumId="14">
    <w:multiLevelType w:val="hybridMultilevel"/>
    <w:lvl w:ilvl="0" w:tentative="0">
      <w:start w:val="1"/>
      <w:numFmt w:val="bullet"/>
      <w:lvlText w:val=""/>
      <w:lvlJc w:val="left"/>
      <w:pPr>
        <w:ind w:left="1080" w:hanging="360"/>
      </w:pPr>
      <w:rPr>
        <w:rFonts w:ascii="Symbol" w:hAnsi="Symbol" w:hint="default"/>
      </w:rPr>
    </w:lvl>
    <w:lvl w:ilvl="1" w:tentative="0">
      <w:start w:val="1"/>
      <w:numFmt w:val="bullet"/>
      <w:lvlText w:val="o"/>
      <w:lvlJc w:val="left"/>
      <w:pPr>
        <w:ind w:left="1800" w:hanging="360"/>
      </w:pPr>
      <w:rPr>
        <w:rFonts w:ascii="Courier New" w:cs="Courier New" w:hAnsi="Courier New" w:hint="default"/>
      </w:rPr>
    </w:lvl>
    <w:lvl w:ilvl="2" w:tentative="0">
      <w:start w:val="1"/>
      <w:numFmt w:val="bullet"/>
      <w:lvlText w:val=""/>
      <w:lvlJc w:val="left"/>
      <w:pPr>
        <w:ind w:left="2520" w:hanging="360"/>
      </w:pPr>
      <w:rPr>
        <w:rFonts w:ascii="Wingdings" w:hAnsi="Wingdings" w:hint="default"/>
      </w:rPr>
    </w:lvl>
    <w:lvl w:ilvl="3" w:tentative="0">
      <w:start w:val="1"/>
      <w:numFmt w:val="bullet"/>
      <w:lvlText w:val=""/>
      <w:lvlJc w:val="left"/>
      <w:pPr>
        <w:ind w:left="3240" w:hanging="360"/>
      </w:pPr>
      <w:rPr>
        <w:rFonts w:ascii="Symbol" w:hAnsi="Symbol" w:hint="default"/>
      </w:rPr>
    </w:lvl>
    <w:lvl w:ilvl="4" w:tentative="0">
      <w:start w:val="1"/>
      <w:numFmt w:val="bullet"/>
      <w:lvlText w:val="o"/>
      <w:lvlJc w:val="left"/>
      <w:pPr>
        <w:ind w:left="3960" w:hanging="360"/>
      </w:pPr>
      <w:rPr>
        <w:rFonts w:ascii="Courier New" w:cs="Courier New" w:hAnsi="Courier New" w:hint="default"/>
      </w:rPr>
    </w:lvl>
    <w:lvl w:ilvl="5" w:tentative="0">
      <w:start w:val="1"/>
      <w:numFmt w:val="bullet"/>
      <w:lvlText w:val=""/>
      <w:lvlJc w:val="left"/>
      <w:pPr>
        <w:ind w:left="4680" w:hanging="360"/>
      </w:pPr>
      <w:rPr>
        <w:rFonts w:ascii="Wingdings" w:hAnsi="Wingdings" w:hint="default"/>
      </w:rPr>
    </w:lvl>
    <w:lvl w:ilvl="6" w:tentative="0">
      <w:start w:val="1"/>
      <w:numFmt w:val="bullet"/>
      <w:lvlText w:val=""/>
      <w:lvlJc w:val="left"/>
      <w:pPr>
        <w:ind w:left="5400" w:hanging="360"/>
      </w:pPr>
      <w:rPr>
        <w:rFonts w:ascii="Symbol" w:hAnsi="Symbol" w:hint="default"/>
      </w:rPr>
    </w:lvl>
    <w:lvl w:ilvl="7" w:tentative="0">
      <w:start w:val="1"/>
      <w:numFmt w:val="bullet"/>
      <w:lvlText w:val="o"/>
      <w:lvlJc w:val="left"/>
      <w:pPr>
        <w:ind w:left="6120" w:hanging="360"/>
      </w:pPr>
      <w:rPr>
        <w:rFonts w:ascii="Courier New" w:cs="Courier New" w:hAnsi="Courier New" w:hint="default"/>
      </w:rPr>
    </w:lvl>
    <w:lvl w:ilvl="8" w:tentative="0">
      <w:start w:val="1"/>
      <w:numFmt w:val="bullet"/>
      <w:lvlText w:val=""/>
      <w:lvlJc w:val="left"/>
      <w:pPr>
        <w:ind w:left="6840" w:hanging="360"/>
      </w:pPr>
      <w:rPr>
        <w:rFonts w:ascii="Wingdings" w:hAnsi="Wingdings" w:hint="default"/>
      </w:rPr>
    </w:lvl>
  </w:abstractNum>
  <w:abstractNum w:abstractNumId="15">
    <w:multiLevelType w:val="hybridMultilevel"/>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multiLevelType w:val="hybridMultilevel"/>
    <w:lvl w:ilvl="0" w:tentative="0">
      <w:start w:val="1"/>
      <w:numFmt w:val="bullet"/>
      <w:lvlText w:val=""/>
      <w:lvlJc w:val="left"/>
      <w:pPr>
        <w:tabs>
          <w:tab w:val="num" w:pos="720"/>
        </w:tabs>
        <w:ind w:left="720" w:hanging="360"/>
      </w:pPr>
      <w:rPr>
        <w:rFonts w:ascii="Symbol" w:hAnsi="Symbol" w:hint="default"/>
        <w:sz w:val="20"/>
      </w:rPr>
    </w:lvl>
    <w:lvl w:ilvl="1" w:tentative="0">
      <w:start w:val="1"/>
      <w:numFmt w:val="bullet"/>
      <w:lvlText w:val="o"/>
      <w:lvlJc w:val="left"/>
      <w:pPr>
        <w:tabs>
          <w:tab w:val="num" w:pos="1440"/>
        </w:tabs>
        <w:ind w:left="1440" w:hanging="360"/>
      </w:pPr>
      <w:rPr>
        <w:rFonts w:ascii="Courier New" w:hAnsi="Courier New" w:hint="default"/>
        <w:sz w:val="20"/>
      </w:rPr>
    </w:lvl>
    <w:lvl w:ilvl="2" w:tentative="0">
      <w:start w:val="1"/>
      <w:numFmt w:val="bullet"/>
      <w:lvlText w:val=""/>
      <w:lvlJc w:val="left"/>
      <w:pPr>
        <w:tabs>
          <w:tab w:val="num" w:pos="2160"/>
        </w:tabs>
        <w:ind w:left="2160" w:hanging="360"/>
      </w:pPr>
      <w:rPr>
        <w:rFonts w:ascii="Wingdings" w:hAnsi="Wingdings" w:hint="default"/>
        <w:sz w:val="20"/>
      </w:rPr>
    </w:lvl>
    <w:lvl w:ilvl="3" w:tentative="0">
      <w:start w:val="1"/>
      <w:numFmt w:val="bullet"/>
      <w:lvlText w:val=""/>
      <w:lvlJc w:val="left"/>
      <w:pPr>
        <w:tabs>
          <w:tab w:val="num" w:pos="2880"/>
        </w:tabs>
        <w:ind w:left="2880" w:hanging="360"/>
      </w:pPr>
      <w:rPr>
        <w:rFonts w:ascii="Wingdings" w:hAnsi="Wingdings" w:hint="default"/>
        <w:sz w:val="20"/>
      </w:rPr>
    </w:lvl>
    <w:lvl w:ilvl="4" w:tentative="0">
      <w:start w:val="1"/>
      <w:numFmt w:val="bullet"/>
      <w:lvlText w:val=""/>
      <w:lvlJc w:val="left"/>
      <w:pPr>
        <w:tabs>
          <w:tab w:val="num" w:pos="3600"/>
        </w:tabs>
        <w:ind w:left="3600" w:hanging="360"/>
      </w:pPr>
      <w:rPr>
        <w:rFonts w:ascii="Wingdings" w:hAnsi="Wingdings" w:hint="default"/>
        <w:sz w:val="20"/>
      </w:rPr>
    </w:lvl>
    <w:lvl w:ilvl="5" w:tentative="0">
      <w:start w:val="1"/>
      <w:numFmt w:val="bullet"/>
      <w:lvlText w:val=""/>
      <w:lvlJc w:val="left"/>
      <w:pPr>
        <w:tabs>
          <w:tab w:val="num" w:pos="4320"/>
        </w:tabs>
        <w:ind w:left="4320" w:hanging="360"/>
      </w:pPr>
      <w:rPr>
        <w:rFonts w:ascii="Wingdings" w:hAnsi="Wingdings" w:hint="default"/>
        <w:sz w:val="20"/>
      </w:rPr>
    </w:lvl>
    <w:lvl w:ilvl="6" w:tentative="0">
      <w:start w:val="1"/>
      <w:numFmt w:val="bullet"/>
      <w:lvlText w:val=""/>
      <w:lvlJc w:val="left"/>
      <w:pPr>
        <w:tabs>
          <w:tab w:val="num" w:pos="5040"/>
        </w:tabs>
        <w:ind w:left="5040" w:hanging="360"/>
      </w:pPr>
      <w:rPr>
        <w:rFonts w:ascii="Wingdings" w:hAnsi="Wingdings" w:hint="default"/>
        <w:sz w:val="20"/>
      </w:rPr>
    </w:lvl>
    <w:lvl w:ilvl="7" w:tentative="0">
      <w:start w:val="1"/>
      <w:numFmt w:val="bullet"/>
      <w:lvlText w:val=""/>
      <w:lvlJc w:val="left"/>
      <w:pPr>
        <w:tabs>
          <w:tab w:val="num" w:pos="5760"/>
        </w:tabs>
        <w:ind w:left="5760" w:hanging="360"/>
      </w:pPr>
      <w:rPr>
        <w:rFonts w:ascii="Wingdings" w:hAnsi="Wingdings" w:hint="default"/>
        <w:sz w:val="20"/>
      </w:rPr>
    </w:lvl>
    <w:lvl w:ilvl="8" w:tentative="0">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6"/>
  </w:num>
  <w:num w:numId="3">
    <w:abstractNumId w:val="5"/>
  </w:num>
  <w:num w:numId="4">
    <w:abstractNumId w:val="3"/>
  </w:num>
  <w:num w:numId="5">
    <w:abstractNumId w:val="2"/>
  </w:num>
  <w:num w:numId="6">
    <w:abstractNumId w:val="7"/>
  </w:num>
  <w:num w:numId="7">
    <w:abstractNumId w:val="6"/>
  </w:num>
  <w:num w:numId="8">
    <w:abstractNumId w:val="9"/>
  </w:num>
  <w:num w:numId="9">
    <w:abstractNumId w:val="4"/>
  </w:num>
  <w:num w:numId="10">
    <w:abstractNumId w:val="10"/>
  </w:num>
  <w:num w:numId="11">
    <w:abstractNumId w:val="13"/>
  </w:num>
  <w:num w:numId="12">
    <w:abstractNumId w:val="11"/>
  </w:num>
  <w:num w:numId="13">
    <w:abstractNumId w:val="0"/>
  </w:num>
  <w:num w:numId="14">
    <w:abstractNumId w:val="8"/>
  </w:num>
  <w:num w:numId="15">
    <w:abstractNumId w:val="14"/>
  </w:num>
  <w:num w:numId="16">
    <w:abstractNumId w:val="12"/>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1C1"/>
    <w:rsid w:val="001447AA"/>
    <w:rsid w:val="001A78BD"/>
    <w:rsid w:val="003368FD"/>
    <w:rsid w:val="00401D7D"/>
    <w:rsid w:val="0074568D"/>
    <w:rsid w:val="00893176"/>
    <w:rsid w:val="009830EF"/>
    <w:rsid w:val="00AC49DC"/>
    <w:rsid w:val="00BA3853"/>
    <w:rsid w:val="00C20577"/>
    <w:rsid w:val="00D1445B"/>
    <w:rsid w:val="00D60E8F"/>
    <w:rsid w:val="00DD1622"/>
    <w:rsid w:val="00E16AEF"/>
    <w:rsid w:val="00EC6ADB"/>
    <w:rsid w:val="00F85CD0"/>
    <w:rsid w:val="00FE11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C9C6A"/>
  <w15:docId w15:val="{C1E13143-8906-4A01-9061-189E4D6C221A}"/>
  <w:footnotePr>
    <w:footnote w:id="0"/>
    <w:footnote w:id="1"/>
  </w:footnotePr>
  <w:endnotePr>
    <w:endnote w:id="0"/>
    <w:endnote w:id="1"/>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HAnsi" w:hAnsiTheme="minorHAnsi"/>
        <w:sz w:val="22"/>
        <w:szCs w:val="22"/>
        <w:lang w:val="ru-RU" w:bidi="ar-SA" w:eastAsia="en-US"/>
        <w14:ligatures w14:val="standardContextual"/>
      </w:rPr>
    </w:rPrDefault>
    <w:pPrDefault>
      <w:pPr>
        <w:spacing w:after="160" w:line="259" w:lineRule="auto"/>
      </w:pPr>
    </w:pPrDefault>
  </w:docDefaults>
  <w:style w:type="character" w:customStyle="1" w:styleId="PlainTextChar">
    <w:name w:val="Plain Text Char"/>
    <w:uiPriority w:val="99"/>
    <w:rPr>
      <w:rFonts w:ascii="Courier New" w:cs="Courier New" w:hAnsi="Courier New"/>
      <w:sz w:val="21"/>
      <w:szCs w:val="21"/>
    </w:rPr>
  </w:style>
  <w:style w:type="paragraph" w:default="1" w:styleId="Normal">
    <w:name w:val="Normal"/>
    <w:uiPriority w:val="99"/>
    <w:qFormat w:val="on"/>
  </w:style>
  <w:style w:type="paragraph" w:styleId="Heading1">
    <w:name w:val="Heading 1"/>
    <w:basedOn w:val="Normal"/>
    <w:next w:val="Normal"/>
    <w:link w:val="Заголовок1Знак"/>
    <w:uiPriority w:val="9"/>
    <w:qFormat w:val="on"/>
    <w:pPr>
      <w:keepNext w:val="on"/>
      <w:keepLines w:val="on"/>
      <w:spacing w:before="360" w:after="80"/>
    </w:pPr>
    <w:rPr>
      <w:rFonts w:asciiTheme="majorHAnsi" w:cstheme="majorBidi" w:eastAsiaTheme="majorEastAsia" w:hAnsiTheme="majorHAnsi"/>
      <w:color w:val="104760" w:themeColor="accent1" w:themeShade="bf"/>
      <w:sz w:val="40"/>
      <w:szCs w:val="40"/>
    </w:rPr>
  </w:style>
  <w:style w:type="paragraph" w:styleId="Heading2">
    <w:name w:val="Heading 2"/>
    <w:basedOn w:val="Normal"/>
    <w:next w:val="Normal"/>
    <w:link w:val="Заголовок2Знак"/>
    <w:uiPriority w:val="9"/>
    <w:semiHidden w:val="on"/>
    <w:unhideWhenUsed w:val="on"/>
    <w:qFormat w:val="on"/>
    <w:pPr>
      <w:keepNext w:val="on"/>
      <w:keepLines w:val="on"/>
      <w:spacing w:before="160" w:after="80"/>
    </w:pPr>
    <w:rPr>
      <w:rFonts w:asciiTheme="majorHAnsi" w:cstheme="majorBidi" w:eastAsiaTheme="majorEastAsia" w:hAnsiTheme="majorHAnsi"/>
      <w:color w:val="104760" w:themeColor="accent1" w:themeShade="bf"/>
      <w:sz w:val="32"/>
      <w:szCs w:val="32"/>
    </w:rPr>
  </w:style>
  <w:style w:type="paragraph" w:styleId="Heading3">
    <w:name w:val="Heading 3"/>
    <w:basedOn w:val="Normal"/>
    <w:next w:val="Normal"/>
    <w:link w:val="Заголовок3Знак"/>
    <w:uiPriority w:val="9"/>
    <w:semiHidden w:val="on"/>
    <w:unhideWhenUsed w:val="on"/>
    <w:qFormat w:val="on"/>
    <w:pPr>
      <w:keepNext w:val="on"/>
      <w:keepLines w:val="on"/>
      <w:spacing w:before="160" w:after="80"/>
    </w:pPr>
    <w:rPr>
      <w:rFonts w:cstheme="majorBidi" w:eastAsiaTheme="majorEastAsia"/>
      <w:color w:val="104760" w:themeColor="accent1" w:themeShade="bf"/>
      <w:sz w:val="28"/>
      <w:szCs w:val="28"/>
    </w:rPr>
  </w:style>
  <w:style w:type="paragraph" w:styleId="Heading4">
    <w:name w:val="Heading 4"/>
    <w:basedOn w:val="Normal"/>
    <w:next w:val="Normal"/>
    <w:link w:val="Заголовок4Знак"/>
    <w:uiPriority w:val="9"/>
    <w:semiHidden w:val="on"/>
    <w:unhideWhenUsed w:val="on"/>
    <w:qFormat w:val="on"/>
    <w:pPr>
      <w:keepNext w:val="on"/>
      <w:keepLines w:val="on"/>
      <w:spacing w:before="80" w:after="40"/>
    </w:pPr>
    <w:rPr>
      <w:rFonts w:cstheme="majorBidi" w:eastAsiaTheme="majorEastAsia"/>
      <w:i/>
      <w:iCs/>
      <w:color w:val="104760" w:themeColor="accent1" w:themeShade="bf"/>
    </w:rPr>
  </w:style>
  <w:style w:type="paragraph" w:styleId="Heading5">
    <w:name w:val="Heading 5"/>
    <w:basedOn w:val="Normal"/>
    <w:next w:val="Normal"/>
    <w:link w:val="Заголовок5Знак"/>
    <w:uiPriority w:val="9"/>
    <w:semiHidden w:val="on"/>
    <w:unhideWhenUsed w:val="on"/>
    <w:qFormat w:val="on"/>
    <w:pPr>
      <w:keepNext w:val="on"/>
      <w:keepLines w:val="on"/>
      <w:spacing w:before="80" w:after="40"/>
    </w:pPr>
    <w:rPr>
      <w:rFonts w:cstheme="majorBidi" w:eastAsiaTheme="majorEastAsia"/>
      <w:color w:val="104760" w:themeColor="accent1" w:themeShade="bf"/>
    </w:rPr>
  </w:style>
  <w:style w:type="paragraph" w:styleId="Heading6">
    <w:name w:val="Heading 6"/>
    <w:basedOn w:val="Normal"/>
    <w:next w:val="Normal"/>
    <w:link w:val="Заголовок6Знак"/>
    <w:uiPriority w:val="9"/>
    <w:semiHidden w:val="on"/>
    <w:unhideWhenUsed w:val="on"/>
    <w:qFormat w:val="on"/>
    <w:pPr>
      <w:keepNext w:val="on"/>
      <w:keepLines w:val="on"/>
      <w:spacing w:before="40" w:after="0"/>
    </w:pPr>
    <w:rPr>
      <w:rFonts w:cstheme="majorBidi" w:eastAsiaTheme="majorEastAsia"/>
      <w:i/>
      <w:iCs/>
      <w:color w:val="595959" w:themeColor="text1" w:themeTint="a6"/>
    </w:rPr>
  </w:style>
  <w:style w:type="paragraph" w:styleId="Heading7">
    <w:name w:val="Heading 7"/>
    <w:basedOn w:val="Normal"/>
    <w:next w:val="Normal"/>
    <w:link w:val="Заголовок7Знак"/>
    <w:uiPriority w:val="9"/>
    <w:semiHidden w:val="on"/>
    <w:unhideWhenUsed w:val="on"/>
    <w:qFormat w:val="on"/>
    <w:pPr>
      <w:keepNext w:val="on"/>
      <w:keepLines w:val="on"/>
      <w:spacing w:before="40" w:after="0"/>
    </w:pPr>
    <w:rPr>
      <w:rFonts w:cstheme="majorBidi" w:eastAsiaTheme="majorEastAsia"/>
      <w:color w:val="595959" w:themeColor="text1" w:themeTint="a6"/>
    </w:rPr>
  </w:style>
  <w:style w:type="paragraph" w:styleId="Heading8">
    <w:name w:val="Heading 8"/>
    <w:basedOn w:val="Normal"/>
    <w:next w:val="Normal"/>
    <w:link w:val="Заголовок8Знак"/>
    <w:uiPriority w:val="9"/>
    <w:semiHidden w:val="on"/>
    <w:unhideWhenUsed w:val="on"/>
    <w:qFormat w:val="on"/>
    <w:pPr>
      <w:keepNext w:val="on"/>
      <w:keepLines w:val="on"/>
      <w:spacing w:after="0"/>
    </w:pPr>
    <w:rPr>
      <w:rFonts w:cstheme="majorBidi" w:eastAsiaTheme="majorEastAsia"/>
      <w:i/>
      <w:iCs/>
      <w:color w:val="272727" w:themeColor="text1" w:themeTint="d8"/>
    </w:rPr>
  </w:style>
  <w:style w:type="paragraph" w:styleId="Heading9">
    <w:name w:val="Heading 9"/>
    <w:basedOn w:val="Normal"/>
    <w:next w:val="Normal"/>
    <w:link w:val="Заголовок9Знак"/>
    <w:uiPriority w:val="9"/>
    <w:semiHidden w:val="on"/>
    <w:unhideWhenUsed w:val="on"/>
    <w:qFormat w:val="on"/>
    <w:pPr>
      <w:keepNext w:val="on"/>
      <w:keepLines w:val="on"/>
      <w:spacing w:after="0"/>
    </w:pPr>
    <w:rPr>
      <w:rFonts w:cstheme="majorBidi" w:eastAsiaTheme="majorEastAsia"/>
      <w:color w:val="272727" w:themeColor="text1" w:themeTint="d8"/>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character" w:customStyle="1" w:styleId="НазваниеобъектаЗнак">
    <w:name w:val="Название объекта Знак"/>
    <w:basedOn w:val="DefaultParagraphFont"/>
    <w:link w:val="Caption"/>
    <w:uiPriority w:val="35"/>
    <w:rPr>
      <w:b/>
      <w:bCs/>
      <w:color w:val="156082" w:themeColor="accent1"/>
      <w:sz w:val="18"/>
      <w:szCs w:val="18"/>
    </w:rPr>
  </w:style>
  <w:style w:type="table" w:customStyle="1" w:styleId="TableGridLight">
    <w:name w:val="Table Grid Light"/>
    <w:basedOn w:val="NormalTable"/>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PlainTable1">
    <w:name w:val="Plain Table 1"/>
    <w:basedOn w:val="NormalTable"/>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NormalTable"/>
    <w:uiPriority w:val="59"/>
    <w:pPr>
      <w:spacing w:after="0" w:line="240" w:lineRule="auto"/>
    </w:pPr>
    <w:tblPr>
      <w:tblBorders>
        <w:top w:val="single" w:color="000000" w:themeColor="text1" w:sz="4" w:space="0"/>
        <w:left w:val="none" w:sz="4" w:space="0"/>
        <w:bottom w:val="single" w:color="000000" w:themeColor="text1" w:sz="4" w:space="0"/>
        <w:right w:val="none" w:sz="4" w:space="0"/>
      </w:tblBorders>
    </w:tblPr>
    <w:tblStylePr w:type="firstRow">
      <w:rPr>
        <w:rFonts w:ascii="Arial" w:hAnsi="Arial"/>
        <w:b/>
        <w:color w:val="404040"/>
        <w:sz w:val="22"/>
      </w:rPr>
      <w:tbl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PlainTable3">
    <w:name w:val="Plain Table 3"/>
    <w:basedOn w:val="NormalTable"/>
    <w:uiPriority w:val="99"/>
    <w:pPr>
      <w:spacing w:after="0" w:line="240" w:lineRule="auto"/>
    </w:pPr>
    <w:tblPr>
      <w:tblStyleRowBandSize w:val="1"/>
      <w:tblStyleColBandSize w:val="1"/>
    </w:tblPr>
    <w:tblStylePr w:type="firstRow">
      <w:rPr>
        <w:b/>
        <w:caps/>
        <w:color w:val="404040"/>
      </w:rPr>
      <w:tblPr/>
      <w:tcPr>
        <w:tcBorders>
          <w:top w:val="none" w:sz="4" w:space="0"/>
          <w:left w:val="none" w:sz="4" w:space="0"/>
          <w:bottom w:val="single" w:color="404040" w:sz="4" w:space="0"/>
          <w:right w:val="none" w:sz="4" w:space="0"/>
        </w:tcBorders>
      </w:tcPr>
    </w:tblStylePr>
    <w:tblStylePr w:type="lastRow">
      <w:rPr>
        <w:b/>
        <w:caps/>
        <w:color w:val="404040"/>
      </w:rPr>
    </w:tblStylePr>
    <w:tblStylePr w:type="firstCol">
      <w:rPr>
        <w:b/>
        <w:caps/>
        <w:color w:val="404040"/>
      </w:rPr>
      <w:tblPr/>
      <w:tcPr>
        <w:tcBorders>
          <w:top w:val="none" w:sz="4" w:space="0"/>
          <w:left w:val="none" w:sz="4" w:space="0"/>
          <w:bottom w:val="none" w:sz="4" w:space="0"/>
          <w:right w:val="single" w:color="404040" w:sz="4" w:space="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NormalTab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NormalTable"/>
    <w:uiPriority w:val="99"/>
    <w:pPr>
      <w:spacing w:after="0" w:line="240" w:lineRule="auto"/>
    </w:pPr>
    <w:tblPr>
      <w:tblStyleRowBandSize w:val="1"/>
      <w:tblStyleColBandSize w:val="1"/>
    </w:tblPr>
    <w:tblStylePr w:type="firstRow">
      <w:rPr>
        <w:i/>
        <w:color w:val="404040"/>
      </w:rPr>
      <w:tblPr/>
      <w:tcPr>
        <w:tcBorders>
          <w:left w:val="none" w:sz="4" w:space="0"/>
          <w:bottom w:val="single" w:color="404040" w:sz="4" w:space="0"/>
          <w:right w:val="none" w:sz="4" w:space="0"/>
        </w:tcBorders>
        <w:shd w:val="clear" w:color="ffffff" w:fill="auto"/>
      </w:tcPr>
    </w:tblStylePr>
    <w:tblStylePr w:type="lastRow">
      <w:rPr>
        <w:i/>
        <w:color w:val="404040"/>
      </w:rPr>
      <w:tblPr/>
      <w:tcPr>
        <w:tcBorders>
          <w:top w:val="single" w:color="404040" w:sz="4" w:space="0"/>
          <w:left w:val="none" w:sz="4" w:space="0"/>
          <w:right w:val="none" w:sz="4" w:space="0"/>
        </w:tcBorders>
        <w:shd w:val="clear" w:color="ffffff" w:fill="auto"/>
      </w:tcPr>
    </w:tblStylePr>
    <w:tblStylePr w:type="firstCol">
      <w:pPr>
        <w:jc w:val="right"/>
      </w:pPr>
      <w:rPr>
        <w:i/>
        <w:color w:val="404040"/>
      </w:rPr>
      <w:tblPr/>
      <w:tcPr>
        <w:tcBorders>
          <w:right w:val="single" w:color="40404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NormalTable"/>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color w:val="404040"/>
      </w:rPr>
      <w:tblPr/>
      <w:tcPr>
        <w:tcBorders>
          <w:bottom w:val="single" w:color="6a6a6a"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style>
  <w:style w:type="table" w:customStyle="1" w:styleId="GridTable1Light-Accent1">
    <w:name w:val="Grid Table 1 Light - Accent 1"/>
    <w:basedOn w:val="NormalTable"/>
    <w:uiPriority w:val="99"/>
    <w:pPr>
      <w:spacing w:after="0" w:line="240" w:lineRule="auto"/>
    </w:pPr>
    <w:tblPr>
      <w:tblStyleRowBandSize w:val="1"/>
      <w:tblStyleColBandSize w:val="1"/>
      <w:tblBorders>
        <w:top w:val="single" w:color="81caeb" w:themeColor="accent1" w:themeTint="67" w:sz="4" w:space="0"/>
        <w:left w:val="single" w:color="81caeb" w:themeColor="accent1" w:themeTint="67" w:sz="4" w:space="0"/>
        <w:bottom w:val="single" w:color="81caeb" w:themeColor="accent1" w:themeTint="67" w:sz="4" w:space="0"/>
        <w:right w:val="single" w:color="81caeb" w:themeColor="accent1" w:themeTint="67" w:sz="4" w:space="0"/>
        <w:insideH w:val="single" w:color="81caeb" w:themeColor="accent1" w:themeTint="67" w:sz="4" w:space="0"/>
        <w:insideV w:val="single" w:color="81caeb" w:themeColor="accent1" w:themeTint="67" w:sz="4" w:space="0"/>
      </w:tblBorders>
    </w:tblPr>
    <w:tblStylePr w:type="firstRow">
      <w:rPr>
        <w:b/>
        <w:color w:val="404040"/>
      </w:rPr>
      <w:tblPr/>
      <w:tcPr>
        <w:tcBorders>
          <w:bottom w:val="single" w:color="49b2e1"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81caeb" w:themeColor="accent1" w:themeTint="67" w:sz="4" w:space="0"/>
          <w:left w:val="single" w:color="81caeb" w:themeColor="accent1" w:themeTint="67" w:sz="4" w:space="0"/>
          <w:bottom w:val="single" w:color="81caeb" w:themeColor="accent1" w:themeTint="67" w:sz="4" w:space="0"/>
          <w:right w:val="single" w:color="81caeb" w:themeColor="accent1" w:themeTint="67" w:sz="4" w:space="0"/>
        </w:tcBorders>
      </w:tcPr>
    </w:tblStylePr>
  </w:style>
  <w:style w:type="table" w:customStyle="1" w:styleId="GridTable1Light-Accent2">
    <w:name w:val="Grid Table 1 Light - Accent 2"/>
    <w:basedOn w:val="NormalTable"/>
    <w:uiPriority w:val="99"/>
    <w:pPr>
      <w:spacing w:after="0" w:line="240" w:lineRule="auto"/>
    </w:pPr>
    <w:tblPr>
      <w:tblStyleRowBandSize w:val="1"/>
      <w:tblStyleColBandSize w:val="1"/>
      <w:tblBorders>
        <w:top w:val="single" w:color="f6c3aa" w:themeColor="accent2" w:themeTint="67" w:sz="4" w:space="0"/>
        <w:left w:val="single" w:color="f6c3aa" w:themeColor="accent2" w:themeTint="67" w:sz="4" w:space="0"/>
        <w:bottom w:val="single" w:color="f6c3aa" w:themeColor="accent2" w:themeTint="67" w:sz="4" w:space="0"/>
        <w:right w:val="single" w:color="f6c3aa" w:themeColor="accent2" w:themeTint="67" w:sz="4" w:space="0"/>
        <w:insideH w:val="single" w:color="f6c3aa" w:themeColor="accent2" w:themeTint="67" w:sz="4" w:space="0"/>
        <w:insideV w:val="single" w:color="f6c3aa" w:themeColor="accent2" w:themeTint="67" w:sz="4" w:space="0"/>
      </w:tblBorders>
    </w:tblPr>
    <w:tblStylePr w:type="firstRow">
      <w:rPr>
        <w:b/>
        <w:color w:val="404040"/>
      </w:rPr>
      <w:tblPr/>
      <w:tcPr>
        <w:tcBorders>
          <w:bottom w:val="single" w:color="f2aa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f6c3aa" w:themeColor="accent2" w:themeTint="67" w:sz="4" w:space="0"/>
          <w:left w:val="single" w:color="f6c3aa" w:themeColor="accent2" w:themeTint="67" w:sz="4" w:space="0"/>
          <w:bottom w:val="single" w:color="f6c3aa" w:themeColor="accent2" w:themeTint="67" w:sz="4" w:space="0"/>
          <w:right w:val="single" w:color="f6c3aa" w:themeColor="accent2" w:themeTint="67" w:sz="4" w:space="0"/>
        </w:tcBorders>
      </w:tcPr>
    </w:tblStylePr>
  </w:style>
  <w:style w:type="table" w:customStyle="1" w:styleId="GridTable1Light-Accent3">
    <w:name w:val="Grid Table 1 Light - Accent 3"/>
    <w:basedOn w:val="NormalTable"/>
    <w:uiPriority w:val="99"/>
    <w:pPr>
      <w:spacing w:after="0" w:line="240" w:lineRule="auto"/>
    </w:pPr>
    <w:tblPr>
      <w:tblStyleRowBandSize w:val="1"/>
      <w:tblStyleColBandSize w:val="1"/>
      <w:tblBorders>
        <w:top w:val="single" w:color="82e290" w:themeColor="accent3" w:themeTint="67" w:sz="4" w:space="0"/>
        <w:left w:val="single" w:color="82e290" w:themeColor="accent3" w:themeTint="67" w:sz="4" w:space="0"/>
        <w:bottom w:val="single" w:color="82e290" w:themeColor="accent3" w:themeTint="67" w:sz="4" w:space="0"/>
        <w:right w:val="single" w:color="82e290" w:themeColor="accent3" w:themeTint="67" w:sz="4" w:space="0"/>
        <w:insideH w:val="single" w:color="82e290" w:themeColor="accent3" w:themeTint="67" w:sz="4" w:space="0"/>
        <w:insideV w:val="single" w:color="82e290" w:themeColor="accent3" w:themeTint="67" w:sz="4" w:space="0"/>
      </w:tblBorders>
    </w:tblPr>
    <w:tblStylePr w:type="firstRow">
      <w:rPr>
        <w:b/>
        <w:color w:val="404040"/>
      </w:rPr>
      <w:tblPr/>
      <w:tcPr>
        <w:tcBorders>
          <w:bottom w:val="single" w:color="4bd55f"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82e290" w:themeColor="accent3" w:themeTint="67" w:sz="4" w:space="0"/>
          <w:left w:val="single" w:color="82e290" w:themeColor="accent3" w:themeTint="67" w:sz="4" w:space="0"/>
          <w:bottom w:val="single" w:color="82e290" w:themeColor="accent3" w:themeTint="67" w:sz="4" w:space="0"/>
          <w:right w:val="single" w:color="82e290" w:themeColor="accent3" w:themeTint="67" w:sz="4" w:space="0"/>
        </w:tcBorders>
      </w:tcPr>
    </w:tblStylePr>
  </w:style>
  <w:style w:type="table" w:customStyle="1" w:styleId="GridTable1Light-Accent4">
    <w:name w:val="Grid Table 1 Light - Accent 4"/>
    <w:basedOn w:val="NormalTable"/>
    <w:uiPriority w:val="99"/>
    <w:pPr>
      <w:spacing w:after="0" w:line="240" w:lineRule="auto"/>
    </w:pPr>
    <w:tblPr>
      <w:tblStyleRowBandSize w:val="1"/>
      <w:tblStyleColBandSize w:val="1"/>
      <w:tblBorders>
        <w:top w:val="single" w:color="95dbf7" w:themeColor="accent4" w:themeTint="67" w:sz="4" w:space="0"/>
        <w:left w:val="single" w:color="95dbf7" w:themeColor="accent4" w:themeTint="67" w:sz="4" w:space="0"/>
        <w:bottom w:val="single" w:color="95dbf7" w:themeColor="accent4" w:themeTint="67" w:sz="4" w:space="0"/>
        <w:right w:val="single" w:color="95dbf7" w:themeColor="accent4" w:themeTint="67" w:sz="4" w:space="0"/>
        <w:insideH w:val="single" w:color="95dbf7" w:themeColor="accent4" w:themeTint="67" w:sz="4" w:space="0"/>
        <w:insideV w:val="single" w:color="95dbf7" w:themeColor="accent4" w:themeTint="67" w:sz="4" w:space="0"/>
      </w:tblBorders>
    </w:tblPr>
    <w:tblStylePr w:type="firstRow">
      <w:rPr>
        <w:b/>
        <w:color w:val="404040"/>
      </w:rPr>
      <w:tblPr/>
      <w:tcPr>
        <w:tcBorders>
          <w:bottom w:val="single" w:color="64cbf4"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95dbf7" w:themeColor="accent4" w:themeTint="67" w:sz="4" w:space="0"/>
          <w:left w:val="single" w:color="95dbf7" w:themeColor="accent4" w:themeTint="67" w:sz="4" w:space="0"/>
          <w:bottom w:val="single" w:color="95dbf7" w:themeColor="accent4" w:themeTint="67" w:sz="4" w:space="0"/>
          <w:right w:val="single" w:color="95dbf7" w:themeColor="accent4" w:themeTint="67" w:sz="4" w:space="0"/>
        </w:tcBorders>
      </w:tcPr>
    </w:tblStylePr>
  </w:style>
  <w:style w:type="table" w:customStyle="1" w:styleId="GridTable1Light-Accent5">
    <w:name w:val="Grid Table 1 Light - Accent 5"/>
    <w:basedOn w:val="NormalTable"/>
    <w:uiPriority w:val="99"/>
    <w:pPr>
      <w:spacing w:after="0" w:line="240" w:lineRule="auto"/>
    </w:pPr>
    <w:tblPr>
      <w:tblStyleRowBandSize w:val="1"/>
      <w:tblStyleColBandSize w:val="1"/>
      <w:tblBorders>
        <w:top w:val="single" w:color="e49cdb" w:themeColor="accent5" w:themeTint="67" w:sz="4" w:space="0"/>
        <w:left w:val="single" w:color="e49cdb" w:themeColor="accent5" w:themeTint="67" w:sz="4" w:space="0"/>
        <w:bottom w:val="single" w:color="e49cdb" w:themeColor="accent5" w:themeTint="67" w:sz="4" w:space="0"/>
        <w:right w:val="single" w:color="e49cdb" w:themeColor="accent5" w:themeTint="67" w:sz="4" w:space="0"/>
        <w:insideH w:val="single" w:color="e49cdb" w:themeColor="accent5" w:themeTint="67" w:sz="4" w:space="0"/>
        <w:insideV w:val="single" w:color="e49cdb" w:themeColor="accent5" w:themeTint="67" w:sz="4" w:space="0"/>
      </w:tblBorders>
    </w:tblPr>
    <w:tblStylePr w:type="firstRow">
      <w:rPr>
        <w:b/>
        <w:color w:val="404040"/>
      </w:rPr>
      <w:tblPr/>
      <w:tcPr>
        <w:tcBorders>
          <w:bottom w:val="single" w:color="d971c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e49cdb" w:themeColor="accent5" w:themeTint="67" w:sz="4" w:space="0"/>
          <w:left w:val="single" w:color="e49cdb" w:themeColor="accent5" w:themeTint="67" w:sz="4" w:space="0"/>
          <w:bottom w:val="single" w:color="e49cdb" w:themeColor="accent5" w:themeTint="67" w:sz="4" w:space="0"/>
          <w:right w:val="single" w:color="e49cdb" w:themeColor="accent5" w:themeTint="67" w:sz="4" w:space="0"/>
        </w:tcBorders>
      </w:tcPr>
    </w:tblStylePr>
  </w:style>
  <w:style w:type="table" w:customStyle="1" w:styleId="GridTable1Light-Accent6">
    <w:name w:val="Grid Table 1 Light - Accent 6"/>
    <w:basedOn w:val="NormalTable"/>
    <w:uiPriority w:val="99"/>
    <w:pPr>
      <w:spacing w:after="0" w:line="240" w:lineRule="auto"/>
    </w:pPr>
    <w:tblPr>
      <w:tblStyleRowBandSize w:val="1"/>
      <w:tblStyleColBandSize w:val="1"/>
      <w:tblBorders>
        <w:top w:val="single" w:color="b1e59f" w:themeColor="accent6" w:themeTint="67" w:sz="4" w:space="0"/>
        <w:left w:val="single" w:color="b1e59f" w:themeColor="accent6" w:themeTint="67" w:sz="4" w:space="0"/>
        <w:bottom w:val="single" w:color="b1e59f" w:themeColor="accent6" w:themeTint="67" w:sz="4" w:space="0"/>
        <w:right w:val="single" w:color="b1e59f" w:themeColor="accent6" w:themeTint="67" w:sz="4" w:space="0"/>
        <w:insideH w:val="single" w:color="b1e59f" w:themeColor="accent6" w:themeTint="67" w:sz="4" w:space="0"/>
        <w:insideV w:val="single" w:color="b1e59f" w:themeColor="accent6" w:themeTint="67" w:sz="4" w:space="0"/>
      </w:tblBorders>
    </w:tblPr>
    <w:tblStylePr w:type="firstRow">
      <w:rPr>
        <w:b/>
        <w:color w:val="404040"/>
      </w:rPr>
      <w:tblPr/>
      <w:tcPr>
        <w:tcBorders>
          <w:bottom w:val="single" w:color="8fd975"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b1e59f" w:themeColor="accent6" w:themeTint="67" w:sz="4" w:space="0"/>
          <w:left w:val="single" w:color="b1e59f" w:themeColor="accent6" w:themeTint="67" w:sz="4" w:space="0"/>
          <w:bottom w:val="single" w:color="b1e59f" w:themeColor="accent6" w:themeTint="67" w:sz="4" w:space="0"/>
          <w:right w:val="single" w:color="b1e59f" w:themeColor="accent6" w:themeTint="67" w:sz="4" w:space="0"/>
        </w:tcBorders>
      </w:tcPr>
    </w:tblStylePr>
  </w:style>
  <w:style w:type="table" w:styleId="GridTable2">
    <w:name w:val="Grid Table 2"/>
    <w:basedOn w:val="NormalTable"/>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blPr/>
      <w:tcPr>
        <w:tcBorders>
          <w:top w:val="none" w:sz="4" w:space="0"/>
          <w:left w:val="none" w:sz="4" w:space="0"/>
          <w:bottom w:val="single" w:color="6a6a6a" w:themeColor="text1" w:themeTint="95" w:sz="12" w:space="0"/>
          <w:right w:val="none" w:sz="4" w:space="0"/>
        </w:tcBorders>
        <w:shd w:val="clear" w:color="ffffff" w:fill="auto"/>
      </w:tcPr>
    </w:tblStylePr>
    <w:tblStylePr w:type="lastRow">
      <w:rPr>
        <w:b/>
        <w:color w:val="404040"/>
      </w:rPr>
      <w:tblPr/>
      <w:tcPr>
        <w:tcBorders>
          <w:top w:val="single" w:color="6a6a6a" w:themeColor="text1" w:themeTint="95" w:sz="4" w:space="0"/>
          <w:left w:val="none" w:sz="4" w:space="0"/>
          <w:bottom w:val="none" w:sz="4" w:space="0"/>
          <w:right w:val="none"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Table"/>
    <w:uiPriority w:val="99"/>
    <w:pPr>
      <w:spacing w:after="0" w:line="240" w:lineRule="auto"/>
    </w:pPr>
    <w:tblPr>
      <w:tblStyleRowBandSize w:val="1"/>
      <w:tblStyleColBandSize w:val="1"/>
      <w:tblBorders>
        <w:bottom w:val="single" w:color="197199" w:themeColor="accent1" w:themeTint="ea" w:sz="4" w:space="0"/>
        <w:insideH w:val="single" w:color="197199" w:themeColor="accent1" w:themeTint="ea" w:sz="4" w:space="0"/>
        <w:insideV w:val="single" w:color="197199" w:themeColor="accent1" w:themeTint="ea" w:sz="4" w:space="0"/>
      </w:tblBorders>
    </w:tblPr>
    <w:tblStylePr w:type="firstRow">
      <w:rPr>
        <w:b/>
        <w:color w:val="404040"/>
      </w:rPr>
      <w:tblPr/>
      <w:tcPr>
        <w:tcBorders>
          <w:top w:val="none" w:sz="4" w:space="0"/>
          <w:left w:val="none" w:sz="4" w:space="0"/>
          <w:bottom w:val="single" w:color="197199" w:themeColor="accent1" w:themeTint="ea" w:sz="12" w:space="0"/>
          <w:right w:val="none" w:sz="4" w:space="0"/>
        </w:tcBorders>
        <w:shd w:val="clear" w:color="ffffff" w:fill="auto"/>
      </w:tcPr>
    </w:tblStylePr>
    <w:tblStylePr w:type="lastRow">
      <w:rPr>
        <w:b/>
        <w:color w:val="404040"/>
      </w:rPr>
      <w:tblPr/>
      <w:tcPr>
        <w:tcBorders>
          <w:top w:val="single" w:color="197199" w:themeColor="accent1" w:themeTint="ea" w:sz="4" w:space="0"/>
          <w:left w:val="none" w:sz="4" w:space="0"/>
          <w:bottom w:val="none" w:sz="4" w:space="0"/>
          <w:right w:val="none"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5" w:themeColor="accent1" w:themeTint="34" w:fill="bfe4f5" w:themeFill="accent1" w:themeFillTint="34"/>
      </w:tcPr>
    </w:tblStylePr>
    <w:tblStylePr w:type="band1Horz">
      <w:rPr>
        <w:rFonts w:ascii="Arial" w:hAnsi="Arial"/>
        <w:color w:val="404040"/>
        <w:sz w:val="22"/>
      </w:rPr>
      <w:tblPr/>
      <w:tcPr>
        <w:shd w:val="clear" w:color="bfe4f5" w:themeColor="accent1" w:themeTint="34" w:fill="bfe4f5" w:themeFill="accent1" w:themeFillTint="34"/>
      </w:tcPr>
    </w:tblStylePr>
  </w:style>
  <w:style w:type="table" w:customStyle="1" w:styleId="GridTable2-Accent2">
    <w:name w:val="Grid Table 2 - Accent 2"/>
    <w:basedOn w:val="NormalTable"/>
    <w:uiPriority w:val="99"/>
    <w:pPr>
      <w:spacing w:after="0" w:line="240" w:lineRule="auto"/>
    </w:pPr>
    <w:tblPr>
      <w:tblStyleRowBandSize w:val="1"/>
      <w:tblStyleColBandSize w:val="1"/>
      <w:tblBorders>
        <w:bottom w:val="single" w:color="f2a984" w:themeColor="accent2" w:themeTint="97" w:sz="4" w:space="0"/>
        <w:insideH w:val="single" w:color="f2a984" w:themeColor="accent2" w:themeTint="97" w:sz="4" w:space="0"/>
        <w:insideV w:val="single" w:color="f2a984" w:themeColor="accent2" w:themeTint="97" w:sz="4" w:space="0"/>
      </w:tblBorders>
    </w:tblPr>
    <w:tblStylePr w:type="firstRow">
      <w:rPr>
        <w:b/>
        <w:color w:val="404040"/>
      </w:rPr>
      <w:tblPr/>
      <w:tcPr>
        <w:tcBorders>
          <w:top w:val="none" w:sz="4" w:space="0"/>
          <w:left w:val="none" w:sz="4" w:space="0"/>
          <w:bottom w:val="single" w:color="f2a984" w:themeColor="accent2" w:themeTint="97" w:sz="12" w:space="0"/>
          <w:right w:val="none" w:sz="4" w:space="0"/>
        </w:tcBorders>
        <w:shd w:val="clear" w:color="ffffff" w:fill="auto"/>
      </w:tcPr>
    </w:tblStylePr>
    <w:tblStylePr w:type="lastRow">
      <w:rPr>
        <w:b/>
        <w:color w:val="404040"/>
      </w:rPr>
      <w:tblPr/>
      <w:tcPr>
        <w:tcBorders>
          <w:top w:val="single" w:color="f2a984" w:themeColor="accent2" w:themeTint="97" w:sz="4" w:space="0"/>
          <w:left w:val="none" w:sz="4" w:space="0"/>
          <w:bottom w:val="none" w:sz="4" w:space="0"/>
          <w:right w:val="none"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2d5" w:themeColor="accent2" w:themeTint="32" w:fill="fbe2d5" w:themeFill="accent2" w:themeFillTint="32"/>
      </w:tcPr>
    </w:tblStylePr>
    <w:tblStylePr w:type="band1Horz">
      <w:rPr>
        <w:rFonts w:ascii="Arial" w:hAnsi="Arial"/>
        <w:color w:val="404040"/>
        <w:sz w:val="22"/>
      </w:rPr>
      <w:tblPr/>
      <w:tcPr>
        <w:shd w:val="clear" w:color="fbe2d5" w:themeColor="accent2" w:themeTint="32" w:fill="fbe2d5" w:themeFill="accent2" w:themeFillTint="32"/>
      </w:tcPr>
    </w:tblStylePr>
  </w:style>
  <w:style w:type="table" w:customStyle="1" w:styleId="GridTable2-Accent3">
    <w:name w:val="Grid Table 2 - Accent 3"/>
    <w:basedOn w:val="NormalTable"/>
    <w:uiPriority w:val="99"/>
    <w:pPr>
      <w:spacing w:after="0" w:line="240" w:lineRule="auto"/>
    </w:pPr>
    <w:tblPr>
      <w:tblStyleRowBandSize w:val="1"/>
      <w:tblStyleColBandSize w:val="1"/>
      <w:tblBorders>
        <w:bottom w:val="single" w:color="196b25" w:themeColor="accent3" w:themeTint="fe" w:sz="4" w:space="0"/>
        <w:insideH w:val="single" w:color="196b25" w:themeColor="accent3" w:themeTint="fe" w:sz="4" w:space="0"/>
        <w:insideV w:val="single" w:color="196b25" w:themeColor="accent3" w:themeTint="fe" w:sz="4" w:space="0"/>
      </w:tblBorders>
    </w:tblPr>
    <w:tblStylePr w:type="firstRow">
      <w:rPr>
        <w:b/>
        <w:color w:val="404040"/>
      </w:rPr>
      <w:tblPr/>
      <w:tcPr>
        <w:tcBorders>
          <w:top w:val="none" w:sz="4" w:space="0"/>
          <w:left w:val="none" w:sz="4" w:space="0"/>
          <w:bottom w:val="single" w:color="196b25" w:themeColor="accent3" w:themeTint="fe" w:sz="12" w:space="0"/>
          <w:right w:val="none" w:sz="4" w:space="0"/>
        </w:tcBorders>
        <w:shd w:val="clear" w:color="ffffff" w:fill="auto"/>
      </w:tcPr>
    </w:tblStylePr>
    <w:tblStylePr w:type="lastRow">
      <w:rPr>
        <w:b/>
        <w:color w:val="404040"/>
      </w:rPr>
      <w:tblPr/>
      <w:tcPr>
        <w:tcBorders>
          <w:top w:val="single" w:color="196b25" w:themeColor="accent3" w:themeTint="fe" w:sz="4" w:space="0"/>
          <w:left w:val="none" w:sz="4" w:space="0"/>
          <w:bottom w:val="none" w:sz="4" w:space="0"/>
          <w:right w:val="none"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7" w:themeColor="accent3" w:themeTint="34" w:fill="c0f0c7" w:themeFill="accent3" w:themeFillTint="34"/>
      </w:tcPr>
    </w:tblStylePr>
    <w:tblStylePr w:type="band1Horz">
      <w:rPr>
        <w:rFonts w:ascii="Arial" w:hAnsi="Arial"/>
        <w:color w:val="404040"/>
        <w:sz w:val="22"/>
      </w:rPr>
      <w:tblPr/>
      <w:tcPr>
        <w:shd w:val="clear" w:color="c0f0c7" w:themeColor="accent3" w:themeTint="34" w:fill="c0f0c7" w:themeFill="accent3" w:themeFillTint="34"/>
      </w:tcPr>
    </w:tblStylePr>
  </w:style>
  <w:style w:type="table" w:customStyle="1" w:styleId="GridTable2-Accent4">
    <w:name w:val="Grid Table 2 - Accent 4"/>
    <w:basedOn w:val="NormalTable"/>
    <w:uiPriority w:val="99"/>
    <w:pPr>
      <w:spacing w:after="0" w:line="240" w:lineRule="auto"/>
    </w:pPr>
    <w:tblPr>
      <w:tblStyleRowBandSize w:val="1"/>
      <w:tblStyleColBandSize w:val="1"/>
      <w:tblBorders>
        <w:bottom w:val="single" w:color="5ec9f4" w:themeColor="accent4" w:themeTint="9a" w:sz="4" w:space="0"/>
        <w:insideH w:val="single" w:color="5ec9f4" w:themeColor="accent4" w:themeTint="9a" w:sz="4" w:space="0"/>
        <w:insideV w:val="single" w:color="5ec9f4" w:themeColor="accent4" w:themeTint="9a" w:sz="4" w:space="0"/>
      </w:tblBorders>
    </w:tblPr>
    <w:tblStylePr w:type="firstRow">
      <w:rPr>
        <w:b/>
        <w:color w:val="404040"/>
      </w:rPr>
      <w:tblPr/>
      <w:tcPr>
        <w:tcBorders>
          <w:top w:val="none" w:sz="4" w:space="0"/>
          <w:left w:val="none" w:sz="4" w:space="0"/>
          <w:bottom w:val="single" w:color="5ec9f4" w:themeColor="accent4" w:themeTint="9a" w:sz="12" w:space="0"/>
          <w:right w:val="none" w:sz="4" w:space="0"/>
        </w:tcBorders>
        <w:shd w:val="clear" w:color="ffffff" w:fill="auto"/>
      </w:tcPr>
    </w:tblStylePr>
    <w:tblStylePr w:type="lastRow">
      <w:rPr>
        <w:b/>
        <w:color w:val="404040"/>
      </w:rPr>
      <w:tblPr/>
      <w:tcPr>
        <w:tcBorders>
          <w:top w:val="single" w:color="5ec9f4" w:themeColor="accent4" w:themeTint="9a" w:sz="4" w:space="0"/>
          <w:left w:val="none" w:sz="4" w:space="0"/>
          <w:bottom w:val="none" w:sz="4" w:space="0"/>
          <w:right w:val="none"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NormalTable"/>
    <w:uiPriority w:val="99"/>
    <w:pPr>
      <w:spacing w:after="0" w:line="240" w:lineRule="auto"/>
    </w:pPr>
    <w:tblPr>
      <w:tblStyleRowBandSize w:val="1"/>
      <w:tblStyleColBandSize w:val="1"/>
      <w:tblBorders>
        <w:bottom w:val="single" w:color="a02b93" w:themeColor="accent5" w:sz="4" w:space="0"/>
        <w:insideH w:val="single" w:color="a02b93" w:themeColor="accent5" w:sz="4" w:space="0"/>
        <w:insideV w:val="single" w:color="a02b93" w:themeColor="accent5" w:sz="4" w:space="0"/>
      </w:tblBorders>
    </w:tblPr>
    <w:tblStylePr w:type="firstRow">
      <w:rPr>
        <w:b/>
        <w:color w:val="404040"/>
      </w:rPr>
      <w:tblPr/>
      <w:tcPr>
        <w:tcBorders>
          <w:top w:val="none" w:sz="4" w:space="0"/>
          <w:left w:val="none" w:sz="4" w:space="0"/>
          <w:bottom w:val="single" w:color="a02b93" w:themeColor="accent5" w:sz="12" w:space="0"/>
          <w:right w:val="none" w:sz="4" w:space="0"/>
        </w:tcBorders>
        <w:shd w:val="clear" w:color="ffffff" w:fill="auto"/>
      </w:tcPr>
    </w:tblStylePr>
    <w:tblStylePr w:type="lastRow">
      <w:rPr>
        <w:b/>
        <w:color w:val="404040"/>
      </w:rPr>
      <w:tblPr/>
      <w:tcPr>
        <w:tcBorders>
          <w:top w:val="single" w:color="a02b93" w:themeColor="accent5" w:sz="4" w:space="0"/>
          <w:left w:val="none" w:sz="4" w:space="0"/>
          <w:bottom w:val="none" w:sz="4" w:space="0"/>
          <w:right w:val="none"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NormalTable"/>
    <w:uiPriority w:val="99"/>
    <w:pPr>
      <w:spacing w:after="0" w:line="240" w:lineRule="auto"/>
    </w:pPr>
    <w:tblPr>
      <w:tblStyleRowBandSize w:val="1"/>
      <w:tblStyleColBandSize w:val="1"/>
      <w:tblBorders>
        <w:bottom w:val="single" w:color="4ea72e" w:themeColor="accent6" w:sz="4" w:space="0"/>
        <w:insideH w:val="single" w:color="4ea72e" w:themeColor="accent6" w:sz="4" w:space="0"/>
        <w:insideV w:val="single" w:color="4ea72e" w:themeColor="accent6" w:sz="4" w:space="0"/>
      </w:tblBorders>
    </w:tblPr>
    <w:tblStylePr w:type="firstRow">
      <w:rPr>
        <w:b/>
        <w:color w:val="404040"/>
      </w:rPr>
      <w:tblPr/>
      <w:tcPr>
        <w:tcBorders>
          <w:top w:val="none" w:sz="4" w:space="0"/>
          <w:left w:val="none" w:sz="4" w:space="0"/>
          <w:bottom w:val="single" w:color="4ea72e" w:themeColor="accent6" w:sz="12" w:space="0"/>
          <w:right w:val="none" w:sz="4" w:space="0"/>
        </w:tcBorders>
        <w:shd w:val="clear" w:color="ffffff" w:fill="auto"/>
      </w:tcPr>
    </w:tblStylePr>
    <w:tblStylePr w:type="lastRow">
      <w:rPr>
        <w:b/>
        <w:color w:val="404040"/>
      </w:rPr>
      <w:tblPr/>
      <w:tcPr>
        <w:tcBorders>
          <w:top w:val="single" w:color="4ea72e" w:themeColor="accent6" w:sz="4" w:space="0"/>
          <w:left w:val="none" w:sz="4" w:space="0"/>
          <w:bottom w:val="none" w:sz="4" w:space="0"/>
          <w:right w:val="none"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7f2ce" w:themeColor="accent6" w:themeTint="34" w:fill="d7f2ce" w:themeFill="accent6" w:themeFillTint="34"/>
      </w:tcPr>
    </w:tblStylePr>
    <w:tblStylePr w:type="band1Horz">
      <w:rPr>
        <w:rFonts w:ascii="Arial" w:hAnsi="Arial"/>
        <w:color w:val="404040"/>
        <w:sz w:val="22"/>
      </w:rPr>
      <w:tblPr/>
      <w:tcPr>
        <w:shd w:val="clear" w:color="d7f2ce" w:themeColor="accent6" w:themeTint="34" w:fill="d7f2ce" w:themeFill="accent6" w:themeFillTint="34"/>
      </w:tcPr>
    </w:tblStylePr>
  </w:style>
  <w:style w:type="table" w:styleId="GridTable3">
    <w:name w:val="Grid Table 3"/>
    <w:basedOn w:val="NormalTable"/>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blPr/>
      <w:tcPr>
        <w:tcBorders>
          <w:top w:val="none" w:sz="4" w:space="0"/>
          <w:left w:val="none" w:sz="4" w:space="0"/>
          <w:bottom w:val="none" w:sz="4" w:space="0"/>
          <w:right w:val="none" w:sz="4" w:space="0"/>
        </w:tcBorders>
        <w:shd w:val="clear" w:color="ffffff" w:fill="auto"/>
      </w:tcPr>
    </w:tblStylePr>
    <w:tblStylePr w:type="lastRow">
      <w:rPr>
        <w:b/>
        <w:color w:val="404040"/>
      </w:rPr>
      <w:tblPr/>
      <w:tcPr>
        <w:tcBorders>
          <w:top w:val="none" w:sz="4" w:space="0"/>
          <w:left w:val="none" w:sz="4" w:space="0"/>
          <w:bottom w:val="none" w:sz="4" w:space="0"/>
          <w:right w:val="none" w:sz="4" w:space="0"/>
        </w:tcBorders>
        <w:shd w:val="clear" w:color="ffffff" w:fill="auto"/>
      </w:tcPr>
    </w:tblStylePr>
    <w:tblStylePr w:type="firstCol">
      <w:pPr>
        <w:jc w:val="right"/>
      </w:pPr>
      <w:rPr>
        <w:i/>
        <w:color w:val="404040"/>
      </w:rPr>
      <w:tblPr/>
      <w:tcPr>
        <w:tcBorders>
          <w:top w:val="none" w:sz="4" w:space="0"/>
          <w:left w:val="none" w:sz="4" w:space="0"/>
          <w:bottom w:val="none" w:sz="4" w:space="0"/>
          <w:right w:val="none" w:sz="4" w:space="0"/>
        </w:tcBorders>
        <w:shd w:val="clear" w:color="ffffff" w:fill="auto"/>
      </w:tcPr>
    </w:tblStylePr>
    <w:tblStylePr w:type="lastCol">
      <w:rPr>
        <w:i/>
        <w:color w:val="404040"/>
      </w:rPr>
      <w:tblPr/>
      <w:tcPr>
        <w:tcBorders>
          <w:top w:val="none" w:sz="4" w:space="0"/>
          <w:left w:val="none" w:sz="4" w:space="0"/>
          <w:bottom w:val="none" w:sz="4" w:space="0"/>
          <w:right w:val="none" w:sz="4" w:space="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Table"/>
    <w:uiPriority w:val="99"/>
    <w:pPr>
      <w:spacing w:after="0" w:line="240" w:lineRule="auto"/>
    </w:pPr>
    <w:tblPr>
      <w:tblStyleRowBandSize w:val="1"/>
      <w:tblStyleColBandSize w:val="1"/>
      <w:tblBorders>
        <w:bottom w:val="single" w:color="197199" w:themeColor="accent1" w:themeTint="ea" w:sz="4" w:space="0"/>
        <w:insideH w:val="single" w:color="197199" w:themeColor="accent1" w:themeTint="ea" w:sz="4" w:space="0"/>
        <w:insideV w:val="single" w:color="197199" w:themeColor="accent1" w:themeTint="ea" w:sz="4" w:space="0"/>
      </w:tblBorders>
    </w:tblPr>
    <w:tblStylePr w:type="firstRow">
      <w:rPr>
        <w:b/>
        <w:color w:val="404040"/>
      </w:rPr>
      <w:tblPr/>
      <w:tcPr>
        <w:tcBorders>
          <w:top w:val="none" w:sz="4" w:space="0"/>
          <w:left w:val="none" w:sz="4" w:space="0"/>
          <w:bottom w:val="none" w:sz="4" w:space="0"/>
          <w:right w:val="none" w:sz="4" w:space="0"/>
        </w:tcBorders>
        <w:shd w:val="clear" w:color="ffffff" w:fill="auto"/>
      </w:tcPr>
    </w:tblStylePr>
    <w:tblStylePr w:type="lastRow">
      <w:rPr>
        <w:b/>
        <w:color w:val="404040"/>
      </w:rPr>
      <w:tblPr/>
      <w:tcPr>
        <w:tcBorders>
          <w:top w:val="none" w:sz="4" w:space="0"/>
          <w:left w:val="none" w:sz="4" w:space="0"/>
          <w:bottom w:val="none" w:sz="4" w:space="0"/>
          <w:right w:val="none" w:sz="4" w:space="0"/>
        </w:tcBorders>
        <w:shd w:val="clear" w:color="ffffff" w:fill="auto"/>
      </w:tcPr>
    </w:tblStylePr>
    <w:tblStylePr w:type="firstCol">
      <w:pPr>
        <w:jc w:val="right"/>
      </w:pPr>
      <w:rPr>
        <w:i/>
        <w:color w:val="404040"/>
      </w:rPr>
      <w:tblPr/>
      <w:tcPr>
        <w:tcBorders>
          <w:top w:val="none" w:sz="4" w:space="0"/>
          <w:left w:val="none" w:sz="4" w:space="0"/>
          <w:bottom w:val="none" w:sz="4" w:space="0"/>
          <w:right w:val="none" w:sz="4" w:space="0"/>
        </w:tcBorders>
        <w:shd w:val="clear" w:color="ffffff" w:fill="auto"/>
      </w:tcPr>
    </w:tblStylePr>
    <w:tblStylePr w:type="lastCol">
      <w:rPr>
        <w:i/>
        <w:color w:val="404040"/>
      </w:rPr>
      <w:tblPr/>
      <w:tcPr>
        <w:tcBorders>
          <w:top w:val="none" w:sz="4" w:space="0"/>
          <w:left w:val="none" w:sz="4" w:space="0"/>
          <w:bottom w:val="none" w:sz="4" w:space="0"/>
          <w:right w:val="none" w:sz="4" w:space="0"/>
        </w:tcBorders>
        <w:shd w:val="clear" w:color="ffffff" w:fill="auto"/>
      </w:tcPr>
    </w:tblStylePr>
    <w:tblStylePr w:type="band1Vert">
      <w:rPr>
        <w:rFonts w:ascii="Arial" w:hAnsi="Arial"/>
        <w:color w:val="404040"/>
        <w:sz w:val="22"/>
      </w:rPr>
      <w:tblPr/>
      <w:tcPr>
        <w:shd w:val="clear" w:color="bfe4f5" w:themeColor="accent1" w:themeTint="34" w:fill="bfe4f5" w:themeFill="accent1" w:themeFillTint="34"/>
      </w:tcPr>
    </w:tblStylePr>
    <w:tblStylePr w:type="band1Horz">
      <w:rPr>
        <w:rFonts w:ascii="Arial" w:hAnsi="Arial"/>
        <w:color w:val="404040"/>
        <w:sz w:val="22"/>
      </w:rPr>
      <w:tblPr/>
      <w:tcPr>
        <w:shd w:val="clear" w:color="bfe4f5" w:themeColor="accent1" w:themeTint="34" w:fill="bfe4f5" w:themeFill="accent1" w:themeFillTint="34"/>
      </w:tcPr>
    </w:tblStylePr>
  </w:style>
  <w:style w:type="table" w:customStyle="1" w:styleId="GridTable3-Accent2">
    <w:name w:val="Grid Table 3 - Accent 2"/>
    <w:basedOn w:val="NormalTable"/>
    <w:uiPriority w:val="99"/>
    <w:pPr>
      <w:spacing w:after="0" w:line="240" w:lineRule="auto"/>
    </w:pPr>
    <w:tblPr>
      <w:tblStyleRowBandSize w:val="1"/>
      <w:tblStyleColBandSize w:val="1"/>
      <w:tblBorders>
        <w:bottom w:val="single" w:color="f2a984" w:themeColor="accent2" w:themeTint="97" w:sz="4" w:space="0"/>
        <w:insideH w:val="single" w:color="f2a984" w:themeColor="accent2" w:themeTint="97" w:sz="4" w:space="0"/>
        <w:insideV w:val="single" w:color="f2a984" w:themeColor="accent2" w:themeTint="97" w:sz="4" w:space="0"/>
      </w:tblBorders>
    </w:tblPr>
    <w:tblStylePr w:type="firstRow">
      <w:rPr>
        <w:b/>
        <w:color w:val="404040"/>
      </w:rPr>
      <w:tblPr/>
      <w:tcPr>
        <w:tcBorders>
          <w:top w:val="none" w:sz="4" w:space="0"/>
          <w:left w:val="none" w:sz="4" w:space="0"/>
          <w:bottom w:val="none" w:sz="4" w:space="0"/>
          <w:right w:val="none" w:sz="4" w:space="0"/>
        </w:tcBorders>
        <w:shd w:val="clear" w:color="ffffff" w:fill="auto"/>
      </w:tcPr>
    </w:tblStylePr>
    <w:tblStylePr w:type="lastRow">
      <w:rPr>
        <w:b/>
        <w:color w:val="404040"/>
      </w:rPr>
      <w:tblPr/>
      <w:tcPr>
        <w:tcBorders>
          <w:top w:val="none" w:sz="4" w:space="0"/>
          <w:left w:val="none" w:sz="4" w:space="0"/>
          <w:bottom w:val="none" w:sz="4" w:space="0"/>
          <w:right w:val="none" w:sz="4" w:space="0"/>
        </w:tcBorders>
        <w:shd w:val="clear" w:color="ffffff" w:fill="auto"/>
      </w:tcPr>
    </w:tblStylePr>
    <w:tblStylePr w:type="firstCol">
      <w:pPr>
        <w:jc w:val="right"/>
      </w:pPr>
      <w:rPr>
        <w:i/>
        <w:color w:val="404040"/>
      </w:rPr>
      <w:tblPr/>
      <w:tcPr>
        <w:tcBorders>
          <w:top w:val="none" w:sz="4" w:space="0"/>
          <w:left w:val="none" w:sz="4" w:space="0"/>
          <w:bottom w:val="none" w:sz="4" w:space="0"/>
          <w:right w:val="none" w:sz="4" w:space="0"/>
        </w:tcBorders>
        <w:shd w:val="clear" w:color="ffffff" w:fill="auto"/>
      </w:tcPr>
    </w:tblStylePr>
    <w:tblStylePr w:type="lastCol">
      <w:rPr>
        <w:i/>
        <w:color w:val="404040"/>
      </w:rPr>
      <w:tblPr/>
      <w:tcPr>
        <w:tcBorders>
          <w:top w:val="none" w:sz="4" w:space="0"/>
          <w:left w:val="none" w:sz="4" w:space="0"/>
          <w:bottom w:val="none" w:sz="4" w:space="0"/>
          <w:right w:val="none" w:sz="4" w:space="0"/>
        </w:tcBorders>
        <w:shd w:val="clear" w:color="ffffff" w:fill="auto"/>
      </w:tcPr>
    </w:tblStylePr>
    <w:tblStylePr w:type="band1Vert">
      <w:rPr>
        <w:rFonts w:ascii="Arial" w:hAnsi="Arial"/>
        <w:color w:val="404040"/>
        <w:sz w:val="22"/>
      </w:rPr>
      <w:tblPr/>
      <w:tcPr>
        <w:shd w:val="clear" w:color="fbe2d5" w:themeColor="accent2" w:themeTint="32" w:fill="fbe2d5" w:themeFill="accent2" w:themeFillTint="32"/>
      </w:tcPr>
    </w:tblStylePr>
    <w:tblStylePr w:type="band1Horz">
      <w:rPr>
        <w:rFonts w:ascii="Arial" w:hAnsi="Arial"/>
        <w:color w:val="404040"/>
        <w:sz w:val="22"/>
      </w:rPr>
      <w:tblPr/>
      <w:tcPr>
        <w:shd w:val="clear" w:color="fbe2d5" w:themeColor="accent2" w:themeTint="32" w:fill="fbe2d5" w:themeFill="accent2" w:themeFillTint="32"/>
      </w:tcPr>
    </w:tblStylePr>
  </w:style>
  <w:style w:type="table" w:customStyle="1" w:styleId="GridTable3-Accent3">
    <w:name w:val="Grid Table 3 - Accent 3"/>
    <w:basedOn w:val="NormalTable"/>
    <w:uiPriority w:val="99"/>
    <w:pPr>
      <w:spacing w:after="0" w:line="240" w:lineRule="auto"/>
    </w:pPr>
    <w:tblPr>
      <w:tblStyleRowBandSize w:val="1"/>
      <w:tblStyleColBandSize w:val="1"/>
      <w:tblBorders>
        <w:bottom w:val="single" w:color="196b25" w:themeColor="accent3" w:themeTint="fe" w:sz="4" w:space="0"/>
        <w:insideH w:val="single" w:color="196b25" w:themeColor="accent3" w:themeTint="fe" w:sz="4" w:space="0"/>
        <w:insideV w:val="single" w:color="196b25" w:themeColor="accent3" w:themeTint="fe" w:sz="4" w:space="0"/>
      </w:tblBorders>
    </w:tblPr>
    <w:tblStylePr w:type="firstRow">
      <w:rPr>
        <w:b/>
        <w:color w:val="404040"/>
      </w:rPr>
      <w:tblPr/>
      <w:tcPr>
        <w:tcBorders>
          <w:top w:val="none" w:sz="4" w:space="0"/>
          <w:left w:val="none" w:sz="4" w:space="0"/>
          <w:bottom w:val="none" w:sz="4" w:space="0"/>
          <w:right w:val="none" w:sz="4" w:space="0"/>
        </w:tcBorders>
        <w:shd w:val="clear" w:color="ffffff" w:fill="auto"/>
      </w:tcPr>
    </w:tblStylePr>
    <w:tblStylePr w:type="lastRow">
      <w:rPr>
        <w:b/>
        <w:color w:val="404040"/>
      </w:rPr>
      <w:tblPr/>
      <w:tcPr>
        <w:tcBorders>
          <w:top w:val="none" w:sz="4" w:space="0"/>
          <w:left w:val="none" w:sz="4" w:space="0"/>
          <w:bottom w:val="none" w:sz="4" w:space="0"/>
          <w:right w:val="none" w:sz="4" w:space="0"/>
        </w:tcBorders>
        <w:shd w:val="clear" w:color="ffffff" w:fill="auto"/>
      </w:tcPr>
    </w:tblStylePr>
    <w:tblStylePr w:type="firstCol">
      <w:pPr>
        <w:jc w:val="right"/>
      </w:pPr>
      <w:rPr>
        <w:i/>
        <w:color w:val="404040"/>
      </w:rPr>
      <w:tblPr/>
      <w:tcPr>
        <w:tcBorders>
          <w:top w:val="none" w:sz="4" w:space="0"/>
          <w:left w:val="none" w:sz="4" w:space="0"/>
          <w:bottom w:val="none" w:sz="4" w:space="0"/>
          <w:right w:val="none" w:sz="4" w:space="0"/>
        </w:tcBorders>
        <w:shd w:val="clear" w:color="ffffff" w:fill="auto"/>
      </w:tcPr>
    </w:tblStylePr>
    <w:tblStylePr w:type="lastCol">
      <w:rPr>
        <w:i/>
        <w:color w:val="404040"/>
      </w:rPr>
      <w:tblPr/>
      <w:tcPr>
        <w:tcBorders>
          <w:top w:val="none" w:sz="4" w:space="0"/>
          <w:left w:val="none" w:sz="4" w:space="0"/>
          <w:bottom w:val="none" w:sz="4" w:space="0"/>
          <w:right w:val="none" w:sz="4" w:space="0"/>
        </w:tcBorders>
        <w:shd w:val="clear" w:color="ffffff" w:fill="auto"/>
      </w:tcPr>
    </w:tblStylePr>
    <w:tblStylePr w:type="band1Vert">
      <w:rPr>
        <w:rFonts w:ascii="Arial" w:hAnsi="Arial"/>
        <w:color w:val="404040"/>
        <w:sz w:val="22"/>
      </w:rPr>
      <w:tblPr/>
      <w:tcPr>
        <w:shd w:val="clear" w:color="c0f0c7" w:themeColor="accent3" w:themeTint="34" w:fill="c0f0c7" w:themeFill="accent3" w:themeFillTint="34"/>
      </w:tcPr>
    </w:tblStylePr>
    <w:tblStylePr w:type="band1Horz">
      <w:rPr>
        <w:rFonts w:ascii="Arial" w:hAnsi="Arial"/>
        <w:color w:val="404040"/>
        <w:sz w:val="22"/>
      </w:rPr>
      <w:tblPr/>
      <w:tcPr>
        <w:shd w:val="clear" w:color="c0f0c7" w:themeColor="accent3" w:themeTint="34" w:fill="c0f0c7" w:themeFill="accent3" w:themeFillTint="34"/>
      </w:tcPr>
    </w:tblStylePr>
  </w:style>
  <w:style w:type="table" w:customStyle="1" w:styleId="GridTable3-Accent4">
    <w:name w:val="Grid Table 3 - Accent 4"/>
    <w:basedOn w:val="NormalTable"/>
    <w:uiPriority w:val="99"/>
    <w:pPr>
      <w:spacing w:after="0" w:line="240" w:lineRule="auto"/>
    </w:pPr>
    <w:tblPr>
      <w:tblStyleRowBandSize w:val="1"/>
      <w:tblStyleColBandSize w:val="1"/>
      <w:tblBorders>
        <w:bottom w:val="single" w:color="5ec9f4" w:themeColor="accent4" w:themeTint="9a" w:sz="4" w:space="0"/>
        <w:insideH w:val="single" w:color="5ec9f4" w:themeColor="accent4" w:themeTint="9a" w:sz="4" w:space="0"/>
        <w:insideV w:val="single" w:color="5ec9f4" w:themeColor="accent4" w:themeTint="9a" w:sz="4" w:space="0"/>
      </w:tblBorders>
    </w:tblPr>
    <w:tblStylePr w:type="firstRow">
      <w:rPr>
        <w:b/>
        <w:color w:val="404040"/>
      </w:rPr>
      <w:tblPr/>
      <w:tcPr>
        <w:tcBorders>
          <w:top w:val="none" w:sz="4" w:space="0"/>
          <w:left w:val="none" w:sz="4" w:space="0"/>
          <w:bottom w:val="none" w:sz="4" w:space="0"/>
          <w:right w:val="none" w:sz="4" w:space="0"/>
        </w:tcBorders>
        <w:shd w:val="clear" w:color="ffffff" w:fill="auto"/>
      </w:tcPr>
    </w:tblStylePr>
    <w:tblStylePr w:type="lastRow">
      <w:rPr>
        <w:b/>
        <w:color w:val="404040"/>
      </w:rPr>
      <w:tblPr/>
      <w:tcPr>
        <w:tcBorders>
          <w:top w:val="none" w:sz="4" w:space="0"/>
          <w:left w:val="none" w:sz="4" w:space="0"/>
          <w:bottom w:val="none" w:sz="4" w:space="0"/>
          <w:right w:val="none" w:sz="4" w:space="0"/>
        </w:tcBorders>
        <w:shd w:val="clear" w:color="ffffff" w:fill="auto"/>
      </w:tcPr>
    </w:tblStylePr>
    <w:tblStylePr w:type="firstCol">
      <w:pPr>
        <w:jc w:val="right"/>
      </w:pPr>
      <w:rPr>
        <w:i/>
        <w:color w:val="404040"/>
      </w:rPr>
      <w:tblPr/>
      <w:tcPr>
        <w:tcBorders>
          <w:top w:val="none" w:sz="4" w:space="0"/>
          <w:left w:val="none" w:sz="4" w:space="0"/>
          <w:bottom w:val="none" w:sz="4" w:space="0"/>
          <w:right w:val="none" w:sz="4" w:space="0"/>
        </w:tcBorders>
        <w:shd w:val="clear" w:color="ffffff" w:fill="auto"/>
      </w:tcPr>
    </w:tblStylePr>
    <w:tblStylePr w:type="lastCol">
      <w:rPr>
        <w:i/>
        <w:color w:val="404040"/>
      </w:rPr>
      <w:tblPr/>
      <w:tcPr>
        <w:tcBorders>
          <w:top w:val="none" w:sz="4" w:space="0"/>
          <w:left w:val="none" w:sz="4" w:space="0"/>
          <w:bottom w:val="none" w:sz="4" w:space="0"/>
          <w:right w:val="none" w:sz="4" w:space="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NormalTable"/>
    <w:uiPriority w:val="99"/>
    <w:pPr>
      <w:spacing w:after="0" w:line="240" w:lineRule="auto"/>
    </w:pPr>
    <w:tblPr>
      <w:tblStyleRowBandSize w:val="1"/>
      <w:tblStyleColBandSize w:val="1"/>
      <w:tblBorders>
        <w:bottom w:val="single" w:color="a02b93" w:themeColor="accent5" w:sz="4" w:space="0"/>
        <w:insideH w:val="single" w:color="a02b93" w:themeColor="accent5" w:sz="4" w:space="0"/>
        <w:insideV w:val="single" w:color="a02b93" w:themeColor="accent5" w:sz="4" w:space="0"/>
      </w:tblBorders>
    </w:tblPr>
    <w:tblStylePr w:type="firstRow">
      <w:rPr>
        <w:b/>
        <w:color w:val="404040"/>
      </w:rPr>
      <w:tblPr/>
      <w:tcPr>
        <w:tcBorders>
          <w:top w:val="none" w:sz="4" w:space="0"/>
          <w:left w:val="none" w:sz="4" w:space="0"/>
          <w:bottom w:val="none" w:sz="4" w:space="0"/>
          <w:right w:val="none" w:sz="4" w:space="0"/>
        </w:tcBorders>
        <w:shd w:val="clear" w:color="ffffff" w:fill="auto"/>
      </w:tcPr>
    </w:tblStylePr>
    <w:tblStylePr w:type="lastRow">
      <w:rPr>
        <w:b/>
        <w:color w:val="404040"/>
      </w:rPr>
      <w:tblPr/>
      <w:tcPr>
        <w:tcBorders>
          <w:top w:val="none" w:sz="4" w:space="0"/>
          <w:left w:val="none" w:sz="4" w:space="0"/>
          <w:bottom w:val="none" w:sz="4" w:space="0"/>
          <w:right w:val="none" w:sz="4" w:space="0"/>
        </w:tcBorders>
        <w:shd w:val="clear" w:color="ffffff" w:fill="auto"/>
      </w:tcPr>
    </w:tblStylePr>
    <w:tblStylePr w:type="firstCol">
      <w:pPr>
        <w:jc w:val="right"/>
      </w:pPr>
      <w:rPr>
        <w:i/>
        <w:color w:val="404040"/>
      </w:rPr>
      <w:tblPr/>
      <w:tcPr>
        <w:tcBorders>
          <w:top w:val="none" w:sz="4" w:space="0"/>
          <w:left w:val="none" w:sz="4" w:space="0"/>
          <w:bottom w:val="none" w:sz="4" w:space="0"/>
          <w:right w:val="none" w:sz="4" w:space="0"/>
        </w:tcBorders>
        <w:shd w:val="clear" w:color="ffffff" w:fill="auto"/>
      </w:tcPr>
    </w:tblStylePr>
    <w:tblStylePr w:type="lastCol">
      <w:rPr>
        <w:i/>
        <w:color w:val="404040"/>
      </w:rPr>
      <w:tblPr/>
      <w:tcPr>
        <w:tcBorders>
          <w:top w:val="none" w:sz="4" w:space="0"/>
          <w:left w:val="none" w:sz="4" w:space="0"/>
          <w:bottom w:val="none" w:sz="4" w:space="0"/>
          <w:right w:val="none" w:sz="4" w:space="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NormalTable"/>
    <w:uiPriority w:val="99"/>
    <w:pPr>
      <w:spacing w:after="0" w:line="240" w:lineRule="auto"/>
    </w:pPr>
    <w:tblPr>
      <w:tblStyleRowBandSize w:val="1"/>
      <w:tblStyleColBandSize w:val="1"/>
      <w:tblBorders>
        <w:bottom w:val="single" w:color="4ea72e" w:themeColor="accent6" w:sz="4" w:space="0"/>
        <w:insideH w:val="single" w:color="4ea72e" w:themeColor="accent6" w:sz="4" w:space="0"/>
        <w:insideV w:val="single" w:color="4ea72e" w:themeColor="accent6" w:sz="4" w:space="0"/>
      </w:tblBorders>
    </w:tblPr>
    <w:tblStylePr w:type="firstRow">
      <w:rPr>
        <w:b/>
        <w:color w:val="404040"/>
      </w:rPr>
      <w:tblPr/>
      <w:tcPr>
        <w:tcBorders>
          <w:top w:val="none" w:sz="4" w:space="0"/>
          <w:left w:val="none" w:sz="4" w:space="0"/>
          <w:bottom w:val="none" w:sz="4" w:space="0"/>
          <w:right w:val="none" w:sz="4" w:space="0"/>
        </w:tcBorders>
        <w:shd w:val="clear" w:color="ffffff" w:fill="auto"/>
      </w:tcPr>
    </w:tblStylePr>
    <w:tblStylePr w:type="lastRow">
      <w:rPr>
        <w:b/>
        <w:color w:val="404040"/>
      </w:rPr>
      <w:tblPr/>
      <w:tcPr>
        <w:tcBorders>
          <w:top w:val="none" w:sz="4" w:space="0"/>
          <w:left w:val="none" w:sz="4" w:space="0"/>
          <w:bottom w:val="none" w:sz="4" w:space="0"/>
          <w:right w:val="none" w:sz="4" w:space="0"/>
        </w:tcBorders>
        <w:shd w:val="clear" w:color="ffffff" w:fill="auto"/>
      </w:tcPr>
    </w:tblStylePr>
    <w:tblStylePr w:type="firstCol">
      <w:pPr>
        <w:jc w:val="right"/>
      </w:pPr>
      <w:rPr>
        <w:i/>
        <w:color w:val="404040"/>
      </w:rPr>
      <w:tblPr/>
      <w:tcPr>
        <w:tcBorders>
          <w:top w:val="none" w:sz="4" w:space="0"/>
          <w:left w:val="none" w:sz="4" w:space="0"/>
          <w:bottom w:val="none" w:sz="4" w:space="0"/>
          <w:right w:val="none" w:sz="4" w:space="0"/>
        </w:tcBorders>
        <w:shd w:val="clear" w:color="ffffff" w:fill="auto"/>
      </w:tcPr>
    </w:tblStylePr>
    <w:tblStylePr w:type="lastCol">
      <w:rPr>
        <w:i/>
        <w:color w:val="404040"/>
      </w:rPr>
      <w:tblPr/>
      <w:tcPr>
        <w:tcBorders>
          <w:top w:val="none" w:sz="4" w:space="0"/>
          <w:left w:val="none" w:sz="4" w:space="0"/>
          <w:bottom w:val="none" w:sz="4" w:space="0"/>
          <w:right w:val="none" w:sz="4" w:space="0"/>
        </w:tcBorders>
        <w:shd w:val="clear" w:color="ffffff" w:fill="auto"/>
      </w:tcPr>
    </w:tblStylePr>
    <w:tblStylePr w:type="band1Vert">
      <w:rPr>
        <w:rFonts w:ascii="Arial" w:hAnsi="Arial"/>
        <w:color w:val="404040"/>
        <w:sz w:val="22"/>
      </w:rPr>
      <w:tblPr/>
      <w:tcPr>
        <w:shd w:val="clear" w:color="d7f2ce" w:themeColor="accent6" w:themeTint="34" w:fill="d7f2ce" w:themeFill="accent6" w:themeFillTint="34"/>
      </w:tcPr>
    </w:tblStylePr>
    <w:tblStylePr w:type="band1Horz">
      <w:rPr>
        <w:rFonts w:ascii="Arial" w:hAnsi="Arial"/>
        <w:color w:val="404040"/>
        <w:sz w:val="22"/>
      </w:rPr>
      <w:tblPr/>
      <w:tcPr>
        <w:shd w:val="clear" w:color="d7f2ce" w:themeColor="accent6" w:themeTint="34" w:fill="d7f2ce" w:themeFill="accent6" w:themeFillTint="34"/>
      </w:tcPr>
    </w:tblStylePr>
  </w:style>
  <w:style w:type="table" w:styleId="GridTable4">
    <w:name w:val="Grid Table 4"/>
    <w:basedOn w:val="NormalTable"/>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rFonts w:ascii="Arial" w:hAnsi="Arial"/>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bl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Table"/>
    <w:uiPriority w:val="59"/>
    <w:pPr>
      <w:spacing w:after="0" w:line="240" w:lineRule="auto"/>
    </w:pPr>
    <w:tblPr>
      <w:tblStyleRowBandSize w:val="1"/>
      <w:tblStyleColBandSize w:val="1"/>
      <w:tblBorders>
        <w:top w:val="single" w:color="4fb5e3" w:themeColor="accent1" w:themeTint="90" w:sz="4" w:space="0"/>
        <w:left w:val="single" w:color="4fb5e3" w:themeColor="accent1" w:themeTint="90" w:sz="4" w:space="0"/>
        <w:bottom w:val="single" w:color="4fb5e3" w:themeColor="accent1" w:themeTint="90" w:sz="4" w:space="0"/>
        <w:right w:val="single" w:color="4fb5e3" w:themeColor="accent1" w:themeTint="90" w:sz="4" w:space="0"/>
        <w:insideH w:val="single" w:color="4fb5e3" w:themeColor="accent1" w:themeTint="90" w:sz="4" w:space="0"/>
        <w:insideV w:val="single" w:color="4fb5e3" w:themeColor="accent1" w:themeTint="90" w:sz="4" w:space="0"/>
      </w:tblBorders>
    </w:tblPr>
    <w:tblStylePr w:type="firstRow">
      <w:rPr>
        <w:rFonts w:ascii="Arial" w:hAnsi="Arial"/>
        <w:b/>
        <w:color w:val="ffffff"/>
        <w:sz w:val="22"/>
      </w:rPr>
      <w:tblPr/>
      <w:tcPr>
        <w:tcBorders>
          <w:top w:val="single" w:color="197199" w:themeColor="accent1" w:themeTint="ea" w:sz="4" w:space="0"/>
          <w:left w:val="single" w:color="197199" w:themeColor="accent1" w:themeTint="ea" w:sz="4" w:space="0"/>
          <w:bottom w:val="single" w:color="197199" w:themeColor="accent1" w:themeTint="ea" w:sz="4" w:space="0"/>
          <w:right w:val="single" w:color="197199" w:themeColor="accent1" w:themeTint="ea" w:sz="4" w:space="0"/>
        </w:tcBorders>
        <w:shd w:val="clear" w:color="197199" w:themeColor="accent1" w:themeTint="ea" w:fill="197199" w:themeFill="accent1" w:themeFillTint="ea"/>
      </w:tcPr>
    </w:tblStylePr>
    <w:tblStylePr w:type="lastRow">
      <w:rPr>
        <w:b/>
        <w:color w:val="404040"/>
      </w:rPr>
      <w:tblPr/>
      <w:tcPr>
        <w:tcBorders>
          <w:top w:val="single" w:color="197199"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1e5f5" w:themeColor="accent1" w:themeTint="32" w:fill="c1e5f5" w:themeFill="accent1" w:themeFillTint="32"/>
      </w:tcPr>
    </w:tblStylePr>
    <w:tblStylePr w:type="band1Horz">
      <w:rPr>
        <w:rFonts w:ascii="Arial" w:hAnsi="Arial"/>
        <w:color w:val="404040"/>
        <w:sz w:val="22"/>
      </w:rPr>
      <w:tblPr/>
      <w:tcPr>
        <w:shd w:val="clear" w:color="c1e5f5" w:themeColor="accent1" w:themeTint="32" w:fill="c1e5f5" w:themeFill="accent1" w:themeFillTint="32"/>
      </w:tcPr>
    </w:tblStylePr>
  </w:style>
  <w:style w:type="table" w:customStyle="1" w:styleId="GridTable4-Accent2">
    <w:name w:val="Grid Table 4 - Accent 2"/>
    <w:basedOn w:val="NormalTable"/>
    <w:uiPriority w:val="59"/>
    <w:pPr>
      <w:spacing w:after="0" w:line="240" w:lineRule="auto"/>
    </w:pPr>
    <w:tblPr>
      <w:tblStyleRowBandSize w:val="1"/>
      <w:tblStyleColBandSize w:val="1"/>
      <w:tblBorders>
        <w:top w:val="single" w:color="f3ac89" w:themeColor="accent2" w:themeTint="90" w:sz="4" w:space="0"/>
        <w:left w:val="single" w:color="f3ac89" w:themeColor="accent2" w:themeTint="90" w:sz="4" w:space="0"/>
        <w:bottom w:val="single" w:color="f3ac89" w:themeColor="accent2" w:themeTint="90" w:sz="4" w:space="0"/>
        <w:right w:val="single" w:color="f3ac89" w:themeColor="accent2" w:themeTint="90" w:sz="4" w:space="0"/>
        <w:insideH w:val="single" w:color="f3ac89" w:themeColor="accent2" w:themeTint="90" w:sz="4" w:space="0"/>
        <w:insideV w:val="single" w:color="f3ac89" w:themeColor="accent2" w:themeTint="90" w:sz="4" w:space="0"/>
      </w:tblBorders>
    </w:tblPr>
    <w:tblStylePr w:type="firstRow">
      <w:rPr>
        <w:rFonts w:ascii="Arial" w:hAnsi="Arial"/>
        <w:b/>
        <w:color w:val="ffffff"/>
        <w:sz w:val="22"/>
      </w:rPr>
      <w:tblPr/>
      <w:tcPr>
        <w:tcBorders>
          <w:top w:val="single" w:color="f2a984" w:themeColor="accent2" w:themeTint="97" w:sz="4" w:space="0"/>
          <w:left w:val="single" w:color="f2a984" w:themeColor="accent2" w:themeTint="97" w:sz="4" w:space="0"/>
          <w:bottom w:val="single" w:color="f2a984" w:themeColor="accent2" w:themeTint="97" w:sz="4" w:space="0"/>
          <w:right w:val="single" w:color="f2a984" w:themeColor="accent2" w:themeTint="97" w:sz="4" w:space="0"/>
        </w:tcBorders>
        <w:shd w:val="clear" w:color="f2a984" w:themeColor="accent2" w:themeTint="97" w:fill="f2a984" w:themeFill="accent2" w:themeFillTint="97"/>
      </w:tcPr>
    </w:tblStylePr>
    <w:tblStylePr w:type="lastRow">
      <w:rPr>
        <w:b/>
        <w:color w:val="404040"/>
      </w:rPr>
      <w:tblPr/>
      <w:tcPr>
        <w:tcBorders>
          <w:top w:val="single" w:color="f2a984"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2d5" w:themeColor="accent2" w:themeTint="32" w:fill="fbe2d5" w:themeFill="accent2" w:themeFillTint="32"/>
      </w:tcPr>
    </w:tblStylePr>
    <w:tblStylePr w:type="band1Horz">
      <w:rPr>
        <w:rFonts w:ascii="Arial" w:hAnsi="Arial"/>
        <w:color w:val="404040"/>
        <w:sz w:val="22"/>
      </w:rPr>
      <w:tblPr/>
      <w:tcPr>
        <w:shd w:val="clear" w:color="fbe2d5" w:themeColor="accent2" w:themeTint="32" w:fill="fbe2d5" w:themeFill="accent2" w:themeFillTint="32"/>
      </w:tcPr>
    </w:tblStylePr>
  </w:style>
  <w:style w:type="table" w:customStyle="1" w:styleId="GridTable4-Accent3">
    <w:name w:val="Grid Table 4 - Accent 3"/>
    <w:basedOn w:val="NormalTable"/>
    <w:uiPriority w:val="59"/>
    <w:pPr>
      <w:spacing w:after="0" w:line="240" w:lineRule="auto"/>
    </w:pPr>
    <w:tblPr>
      <w:tblStyleRowBandSize w:val="1"/>
      <w:tblStyleColBandSize w:val="1"/>
      <w:tblBorders>
        <w:top w:val="single" w:color="52d665" w:themeColor="accent3" w:themeTint="90" w:sz="4" w:space="0"/>
        <w:left w:val="single" w:color="52d665" w:themeColor="accent3" w:themeTint="90" w:sz="4" w:space="0"/>
        <w:bottom w:val="single" w:color="52d665" w:themeColor="accent3" w:themeTint="90" w:sz="4" w:space="0"/>
        <w:right w:val="single" w:color="52d665" w:themeColor="accent3" w:themeTint="90" w:sz="4" w:space="0"/>
        <w:insideH w:val="single" w:color="52d665" w:themeColor="accent3" w:themeTint="90" w:sz="4" w:space="0"/>
        <w:insideV w:val="single" w:color="52d665" w:themeColor="accent3" w:themeTint="90" w:sz="4" w:space="0"/>
      </w:tblBorders>
    </w:tblPr>
    <w:tblStylePr w:type="firstRow">
      <w:rPr>
        <w:rFonts w:ascii="Arial" w:hAnsi="Arial"/>
        <w:b/>
        <w:color w:val="ffffff"/>
        <w:sz w:val="22"/>
      </w:rPr>
      <w:tblPr/>
      <w:tcPr>
        <w:tcBorders>
          <w:top w:val="single" w:color="196b25" w:themeColor="accent3" w:themeTint="fe" w:sz="4" w:space="0"/>
          <w:left w:val="single" w:color="196b25" w:themeColor="accent3" w:themeTint="fe" w:sz="4" w:space="0"/>
          <w:bottom w:val="single" w:color="196b25" w:themeColor="accent3" w:themeTint="fe" w:sz="4" w:space="0"/>
          <w:right w:val="single" w:color="196b25" w:themeColor="accent3" w:themeTint="fe" w:sz="4" w:space="0"/>
        </w:tcBorders>
        <w:shd w:val="clear" w:color="196b25" w:themeColor="accent3" w:themeTint="fe" w:fill="196b25" w:themeFill="accent3" w:themeFillTint="fe"/>
      </w:tcPr>
    </w:tblStylePr>
    <w:tblStylePr w:type="lastRow">
      <w:rPr>
        <w:b/>
        <w:color w:val="404040"/>
      </w:rPr>
      <w:tblPr/>
      <w:tcPr>
        <w:tcBorders>
          <w:top w:val="single" w:color="196b2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7" w:themeColor="accent3" w:themeTint="34" w:fill="c0f0c7" w:themeFill="accent3" w:themeFillTint="34"/>
      </w:tcPr>
    </w:tblStylePr>
    <w:tblStylePr w:type="band1Horz">
      <w:rPr>
        <w:rFonts w:ascii="Arial" w:hAnsi="Arial"/>
        <w:color w:val="404040"/>
        <w:sz w:val="22"/>
      </w:rPr>
      <w:tblPr/>
      <w:tcPr>
        <w:shd w:val="clear" w:color="c0f0c7" w:themeColor="accent3" w:themeTint="34" w:fill="c0f0c7" w:themeFill="accent3" w:themeFillTint="34"/>
      </w:tcPr>
    </w:tblStylePr>
  </w:style>
  <w:style w:type="table" w:customStyle="1" w:styleId="GridTable4-Accent4">
    <w:name w:val="Grid Table 4 - Accent 4"/>
    <w:basedOn w:val="NormalTable"/>
    <w:uiPriority w:val="59"/>
    <w:pPr>
      <w:spacing w:after="0" w:line="240" w:lineRule="auto"/>
    </w:pPr>
    <w:tblPr>
      <w:tblStyleRowBandSize w:val="1"/>
      <w:tblStyleColBandSize w:val="1"/>
      <w:tblBorders>
        <w:top w:val="single" w:color="6acdf4" w:themeColor="accent4" w:themeTint="90" w:sz="4" w:space="0"/>
        <w:left w:val="single" w:color="6acdf4" w:themeColor="accent4" w:themeTint="90" w:sz="4" w:space="0"/>
        <w:bottom w:val="single" w:color="6acdf4" w:themeColor="accent4" w:themeTint="90" w:sz="4" w:space="0"/>
        <w:right w:val="single" w:color="6acdf4" w:themeColor="accent4" w:themeTint="90" w:sz="4" w:space="0"/>
        <w:insideH w:val="single" w:color="6acdf4" w:themeColor="accent4" w:themeTint="90" w:sz="4" w:space="0"/>
        <w:insideV w:val="single" w:color="6acdf4" w:themeColor="accent4" w:themeTint="90" w:sz="4" w:space="0"/>
      </w:tblBorders>
    </w:tblPr>
    <w:tblStylePr w:type="firstRow">
      <w:rPr>
        <w:rFonts w:ascii="Arial" w:hAnsi="Arial"/>
        <w:b/>
        <w:color w:val="ffffff"/>
        <w:sz w:val="22"/>
      </w:rPr>
      <w:tblPr/>
      <w:tcPr>
        <w:tcBorders>
          <w:top w:val="single" w:color="5ec9f4" w:themeColor="accent4" w:themeTint="9a" w:sz="4" w:space="0"/>
          <w:left w:val="single" w:color="5ec9f4" w:themeColor="accent4" w:themeTint="9a" w:sz="4" w:space="0"/>
          <w:bottom w:val="single" w:color="5ec9f4" w:themeColor="accent4" w:themeTint="9a" w:sz="4" w:space="0"/>
          <w:right w:val="single" w:color="5ec9f4" w:themeColor="accent4" w:themeTint="9a" w:sz="4" w:space="0"/>
        </w:tcBorders>
        <w:shd w:val="clear" w:color="5ec9f4" w:themeColor="accent4" w:themeTint="9a" w:fill="5ec9f4" w:themeFill="accent4" w:themeFillTint="9a"/>
      </w:tcPr>
    </w:tblStylePr>
    <w:tblStylePr w:type="lastRow">
      <w:rPr>
        <w:b/>
        <w:color w:val="404040"/>
      </w:rPr>
      <w:tblPr/>
      <w:tcPr>
        <w:tcBorders>
          <w:top w:val="single" w:color="5ec9f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NormalTable"/>
    <w:uiPriority w:val="59"/>
    <w:pPr>
      <w:spacing w:after="0" w:line="240" w:lineRule="auto"/>
    </w:pPr>
    <w:tblPr>
      <w:tblStyleRowBandSize w:val="1"/>
      <w:tblStyleColBandSize w:val="1"/>
      <w:tblBorders>
        <w:top w:val="single" w:color="da76ce" w:themeColor="accent5" w:themeTint="90" w:sz="4" w:space="0"/>
        <w:left w:val="single" w:color="da76ce" w:themeColor="accent5" w:themeTint="90" w:sz="4" w:space="0"/>
        <w:bottom w:val="single" w:color="da76ce" w:themeColor="accent5" w:themeTint="90" w:sz="4" w:space="0"/>
        <w:right w:val="single" w:color="da76ce" w:themeColor="accent5" w:themeTint="90" w:sz="4" w:space="0"/>
        <w:insideH w:val="single" w:color="da76ce" w:themeColor="accent5" w:themeTint="90" w:sz="4" w:space="0"/>
        <w:insideV w:val="single" w:color="da76ce" w:themeColor="accent5" w:themeTint="90" w:sz="4" w:space="0"/>
      </w:tblBorders>
    </w:tblPr>
    <w:tblStylePr w:type="firstRow">
      <w:rPr>
        <w:rFonts w:ascii="Arial" w:hAnsi="Arial"/>
        <w:b/>
        <w:color w:val="ffffff"/>
        <w:sz w:val="22"/>
      </w:rPr>
      <w:tblPr/>
      <w:tcPr>
        <w:tcBorders>
          <w:top w:val="single" w:color="a02b93" w:themeColor="accent5" w:sz="4" w:space="0"/>
          <w:left w:val="single" w:color="a02b93" w:themeColor="accent5" w:sz="4" w:space="0"/>
          <w:bottom w:val="single" w:color="a02b93" w:themeColor="accent5" w:sz="4" w:space="0"/>
          <w:right w:val="single" w:color="a02b93" w:themeColor="accent5" w:sz="4" w:space="0"/>
        </w:tcBorders>
        <w:shd w:val="clear" w:color="a02b93" w:themeColor="accent5" w:fill="a02b93" w:themeFill="accent5"/>
      </w:tcPr>
    </w:tblStylePr>
    <w:tblStylePr w:type="lastRow">
      <w:rPr>
        <w:b/>
        <w:color w:val="404040"/>
      </w:rPr>
      <w:tblPr/>
      <w:tcPr>
        <w:tcBorders>
          <w:top w:val="single" w:color="a02b93"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NormalTable"/>
    <w:uiPriority w:val="59"/>
    <w:pPr>
      <w:spacing w:after="0" w:line="240" w:lineRule="auto"/>
    </w:pPr>
    <w:tblPr>
      <w:tblStyleRowBandSize w:val="1"/>
      <w:tblStyleColBandSize w:val="1"/>
      <w:tblBorders>
        <w:top w:val="single" w:color="93da7a" w:themeColor="accent6" w:themeTint="90" w:sz="4" w:space="0"/>
        <w:left w:val="single" w:color="93da7a" w:themeColor="accent6" w:themeTint="90" w:sz="4" w:space="0"/>
        <w:bottom w:val="single" w:color="93da7a" w:themeColor="accent6" w:themeTint="90" w:sz="4" w:space="0"/>
        <w:right w:val="single" w:color="93da7a" w:themeColor="accent6" w:themeTint="90" w:sz="4" w:space="0"/>
        <w:insideH w:val="single" w:color="93da7a" w:themeColor="accent6" w:themeTint="90" w:sz="4" w:space="0"/>
        <w:insideV w:val="single" w:color="93da7a" w:themeColor="accent6" w:themeTint="90" w:sz="4" w:space="0"/>
      </w:tblBorders>
    </w:tblPr>
    <w:tblStylePr w:type="firstRow">
      <w:rPr>
        <w:rFonts w:ascii="Arial" w:hAnsi="Arial"/>
        <w:b/>
        <w:color w:val="ffffff"/>
        <w:sz w:val="22"/>
      </w:rPr>
      <w:tblPr/>
      <w:tcPr>
        <w:tcBorders>
          <w:top w:val="single" w:color="4ea72e" w:themeColor="accent6" w:sz="4" w:space="0"/>
          <w:left w:val="single" w:color="4ea72e" w:themeColor="accent6" w:sz="4" w:space="0"/>
          <w:bottom w:val="single" w:color="4ea72e" w:themeColor="accent6" w:sz="4" w:space="0"/>
          <w:right w:val="single" w:color="4ea72e" w:themeColor="accent6" w:sz="4" w:space="0"/>
        </w:tcBorders>
        <w:shd w:val="clear" w:color="4ea72e" w:themeColor="accent6" w:fill="4ea72e" w:themeFill="accent6"/>
      </w:tcPr>
    </w:tblStylePr>
    <w:tblStylePr w:type="lastRow">
      <w:rPr>
        <w:b/>
        <w:color w:val="404040"/>
      </w:rPr>
      <w:tblPr/>
      <w:tcPr>
        <w:tcBorders>
          <w:top w:val="single" w:color="4ea72e"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7f2ce" w:themeColor="accent6" w:themeTint="34" w:fill="d7f2ce" w:themeFill="accent6" w:themeFillTint="34"/>
      </w:tcPr>
    </w:tblStylePr>
    <w:tblStylePr w:type="band1Horz">
      <w:rPr>
        <w:rFonts w:ascii="Arial" w:hAnsi="Arial"/>
        <w:color w:val="404040"/>
        <w:sz w:val="22"/>
      </w:rPr>
      <w:tblPr/>
      <w:tcPr>
        <w:shd w:val="clear" w:color="d7f2ce" w:themeColor="accent6" w:themeTint="34" w:fill="d7f2ce" w:themeFill="accent6" w:themeFillTint="34"/>
      </w:tcPr>
    </w:tblStylePr>
  </w:style>
  <w:style w:type="table" w:styleId="GridTable5Dark">
    <w:name w:val="Grid Table 5 Dark"/>
    <w:basedOn w:val="NormalTable"/>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Table"/>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e4f5" w:themeColor="accent1" w:themeTint="34" w:fill="bfe4f5"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color="ffffff" w:themeColor="light1" w:sz="4" w:space="0"/>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3e8" w:themeColor="accent1" w:themeTint="75" w:fill="70c3e8" w:themeFill="accent1" w:themeFillTint="75"/>
      </w:tcPr>
    </w:tblStylePr>
    <w:tblStylePr w:type="band1Horz">
      <w:tblPr/>
      <w:tcPr>
        <w:shd w:val="clear" w:color="70c3e8" w:themeColor="accent1" w:themeTint="75" w:fill="70c3e8" w:themeFill="accent1" w:themeFillTint="75"/>
      </w:tcPr>
    </w:tblStylePr>
  </w:style>
  <w:style w:type="table" w:customStyle="1" w:styleId="GridTable5Dark-Accent2">
    <w:name w:val="Grid Table 5 Dark - Accent 2"/>
    <w:basedOn w:val="NormalTable"/>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2d5" w:themeColor="accent2" w:themeTint="32" w:fill="fbe2d5"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color="ffffff" w:themeColor="light1" w:sz="4" w:space="0"/>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c9f" w:themeColor="accent2" w:themeTint="75" w:fill="f5bc9f" w:themeFill="accent2" w:themeFillTint="75"/>
      </w:tcPr>
    </w:tblStylePr>
    <w:tblStylePr w:type="band1Horz">
      <w:tblPr/>
      <w:tcPr>
        <w:shd w:val="clear" w:color="f5bc9f" w:themeColor="accent2" w:themeTint="75" w:fill="f5bc9f" w:themeFill="accent2" w:themeFillTint="75"/>
      </w:tcPr>
    </w:tblStylePr>
  </w:style>
  <w:style w:type="table" w:customStyle="1" w:styleId="GridTable5Dark-Accent3">
    <w:name w:val="Grid Table 5 Dark - Accent 3"/>
    <w:basedOn w:val="NormalTable"/>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c0f0c7" w:themeColor="accent3" w:themeTint="34" w:fill="c0f0c7"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color="ffffff" w:themeColor="light1" w:sz="4" w:space="0"/>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1" w:themeColor="accent3" w:themeTint="75" w:fill="72de81" w:themeFill="accent3" w:themeFillTint="75"/>
      </w:tcPr>
    </w:tblStylePr>
    <w:tblStylePr w:type="band1Horz">
      <w:tblPr/>
      <w:tcPr>
        <w:shd w:val="clear" w:color="72de81" w:themeColor="accent3" w:themeTint="75" w:fill="72de81" w:themeFill="accent3" w:themeFillTint="75"/>
      </w:tcPr>
    </w:tblStylePr>
  </w:style>
  <w:style w:type="table" w:customStyle="1" w:styleId="GridTable5Dark-Accent4">
    <w:name w:val="Grid Table 5 Dark- Accent 4"/>
    <w:basedOn w:val="NormalTable"/>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color="ffffff" w:themeColor="light1" w:sz="4" w:space="0"/>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6d6f6" w:themeColor="accent4" w:themeTint="75" w:fill="86d6f6" w:themeFill="accent4" w:themeFillTint="75"/>
      </w:tcPr>
    </w:tblStylePr>
    <w:tblStylePr w:type="band1Horz">
      <w:tblPr/>
      <w:tcPr>
        <w:shd w:val="clear" w:color="86d6f6" w:themeColor="accent4" w:themeTint="75" w:fill="86d6f6" w:themeFill="accent4" w:themeFillTint="75"/>
      </w:tcPr>
    </w:tblStylePr>
  </w:style>
  <w:style w:type="table" w:customStyle="1" w:styleId="GridTable5Dark-Accent5">
    <w:name w:val="Grid Table 5 Dark - Accent 5"/>
    <w:basedOn w:val="NormalTable"/>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color="ffffff" w:themeColor="light1" w:sz="4" w:space="0"/>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NormalTable"/>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7f2ce" w:themeColor="accent6" w:themeTint="34" w:fill="d7f2ce"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color="ffffff" w:themeColor="light1" w:sz="4" w:space="0"/>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7e193" w:themeColor="accent6" w:themeTint="75" w:fill="a7e193" w:themeFill="accent6" w:themeFillTint="75"/>
      </w:tcPr>
    </w:tblStylePr>
    <w:tblStylePr w:type="band1Horz">
      <w:tblPr/>
      <w:tcPr>
        <w:shd w:val="clear" w:color="a7e193" w:themeColor="accent6" w:themeTint="75" w:fill="a7e193" w:themeFill="accent6" w:themeFillTint="75"/>
      </w:tcPr>
    </w:tblStylePr>
  </w:style>
  <w:style w:type="table" w:styleId="GridTable6Colorful">
    <w:name w:val="Grid Table 6 Colorful"/>
    <w:basedOn w:val="NormalTable"/>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rPr>
      <w:tblPr/>
      <w:tcPr>
        <w:tcBorders>
          <w:bottom w:val="single" w:color="7f7f7f" w:themeColor="text1" w:themeTint="80" w:sz="12" w:space="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NormalTable"/>
    <w:uiPriority w:val="99"/>
    <w:pPr>
      <w:spacing w:after="0" w:line="240" w:lineRule="auto"/>
    </w:pPr>
    <w:tblPr>
      <w:tblStyleRowBandSize w:val="1"/>
      <w:tblStyleColBandSize w:val="1"/>
      <w:tblBorders>
        <w:top w:val="single" w:color="62bde6" w:themeColor="accent1" w:themeTint="80" w:sz="4" w:space="0"/>
        <w:left w:val="single" w:color="62bde6" w:themeColor="accent1" w:themeTint="80" w:sz="4" w:space="0"/>
        <w:bottom w:val="single" w:color="62bde6" w:themeColor="accent1" w:themeTint="80" w:sz="4" w:space="0"/>
        <w:right w:val="single" w:color="62bde6" w:themeColor="accent1" w:themeTint="80" w:sz="4" w:space="0"/>
        <w:insideH w:val="single" w:color="62bde6" w:themeColor="accent1" w:themeTint="80" w:sz="4" w:space="0"/>
        <w:insideV w:val="single" w:color="62bde6" w:themeColor="accent1" w:themeTint="80" w:sz="4" w:space="0"/>
      </w:tblBorders>
    </w:tblPr>
    <w:tblStylePr w:type="firstRow">
      <w:rPr>
        <w:b/>
        <w:color w:val="62bde6" w:themeColor="accent1" w:themeTint="80"/>
      </w:rPr>
      <w:tblPr/>
      <w:tcPr>
        <w:tcBorders>
          <w:bottom w:val="single" w:color="62bde6" w:themeColor="accent1" w:themeTint="80" w:sz="12" w:space="0"/>
        </w:tcBorders>
      </w:tcPr>
    </w:tblStylePr>
    <w:tblStylePr w:type="lastRow">
      <w:rPr>
        <w:b/>
        <w:color w:val="62bde6" w:themeColor="accent1" w:themeTint="80"/>
      </w:rPr>
    </w:tblStylePr>
    <w:tblStylePr w:type="firstCol">
      <w:rPr>
        <w:b/>
        <w:color w:val="62bde6" w:themeColor="accent1" w:themeTint="80"/>
      </w:rPr>
    </w:tblStylePr>
    <w:tblStylePr w:type="lastCol">
      <w:rPr>
        <w:b/>
        <w:color w:val="62bde6" w:themeColor="accent1" w:themeTint="80"/>
      </w:rPr>
    </w:tblStylePr>
    <w:tblStylePr w:type="band1Vert">
      <w:tblPr/>
      <w:tcPr>
        <w:shd w:val="clear" w:color="bfe4f5" w:themeColor="accent1" w:themeTint="34" w:fill="bfe4f5" w:themeFill="accent1" w:themeFillTint="34"/>
      </w:tcPr>
    </w:tblStylePr>
    <w:tblStylePr w:type="band1Horz">
      <w:rPr>
        <w:rFonts w:ascii="Arial" w:hAnsi="Arial"/>
        <w:color w:val="62bde6" w:themeColor="accent1" w:themeTint="80"/>
        <w:sz w:val="22"/>
      </w:rPr>
      <w:tblPr/>
      <w:tcPr>
        <w:shd w:val="clear" w:color="bfe4f5" w:themeColor="accent1" w:themeTint="34" w:fill="bfe4f5" w:themeFill="accent1" w:themeFillTint="34"/>
      </w:tcPr>
    </w:tblStylePr>
    <w:tblStylePr w:type="band2Horz">
      <w:rPr>
        <w:rFonts w:ascii="Arial" w:hAnsi="Arial"/>
        <w:color w:val="62bde6" w:themeColor="accent1" w:themeTint="80"/>
        <w:sz w:val="22"/>
      </w:rPr>
    </w:tblStylePr>
  </w:style>
  <w:style w:type="table" w:customStyle="1" w:styleId="GridTable6Colorful-Accent2">
    <w:name w:val="Grid Table 6 Colorful - Accent 2"/>
    <w:basedOn w:val="NormalTable"/>
    <w:uiPriority w:val="99"/>
    <w:pPr>
      <w:spacing w:after="0" w:line="240" w:lineRule="auto"/>
    </w:pPr>
    <w:tblPr>
      <w:tblStyleRowBandSize w:val="1"/>
      <w:tblStyleColBandSize w:val="1"/>
      <w:tblBorders>
        <w:top w:val="single" w:color="f2a984" w:themeColor="accent2" w:themeTint="97" w:sz="4" w:space="0"/>
        <w:left w:val="single" w:color="f2a984" w:themeColor="accent2" w:themeTint="97" w:sz="4" w:space="0"/>
        <w:bottom w:val="single" w:color="f2a984" w:themeColor="accent2" w:themeTint="97" w:sz="4" w:space="0"/>
        <w:right w:val="single" w:color="f2a984" w:themeColor="accent2" w:themeTint="97" w:sz="4" w:space="0"/>
        <w:insideH w:val="single" w:color="f2a984" w:themeColor="accent2" w:themeTint="97" w:sz="4" w:space="0"/>
        <w:insideV w:val="single" w:color="f2a984" w:themeColor="accent2" w:themeTint="97" w:sz="4" w:space="0"/>
      </w:tblBorders>
    </w:tblPr>
    <w:tblStylePr w:type="firstRow">
      <w:rPr>
        <w:b/>
        <w:color w:val="f2a984" w:themeColor="accent2" w:themeTint="97"/>
      </w:rPr>
      <w:tblPr/>
      <w:tcPr>
        <w:tcBorders>
          <w:bottom w:val="single" w:color="f2a984" w:themeColor="accent2" w:themeTint="97" w:sz="12" w:space="0"/>
        </w:tcBorders>
      </w:tcPr>
    </w:tblStylePr>
    <w:tblStylePr w:type="lastRow">
      <w:rPr>
        <w:b/>
        <w:color w:val="f2a984" w:themeColor="accent2" w:themeTint="97"/>
      </w:rPr>
    </w:tblStylePr>
    <w:tblStylePr w:type="firstCol">
      <w:rPr>
        <w:b/>
        <w:color w:val="f2a984" w:themeColor="accent2" w:themeTint="97"/>
      </w:rPr>
    </w:tblStylePr>
    <w:tblStylePr w:type="lastCol">
      <w:rPr>
        <w:b/>
        <w:color w:val="f2a984" w:themeColor="accent2" w:themeTint="97"/>
      </w:rPr>
    </w:tblStylePr>
    <w:tblStylePr w:type="band1Vert">
      <w:tblPr/>
      <w:tcPr>
        <w:shd w:val="clear" w:color="fbe2d5" w:themeColor="accent2" w:themeTint="32" w:fill="fbe2d5" w:themeFill="accent2" w:themeFillTint="32"/>
      </w:tcPr>
    </w:tblStylePr>
    <w:tblStylePr w:type="band1Horz">
      <w:rPr>
        <w:rFonts w:ascii="Arial" w:hAnsi="Arial"/>
        <w:color w:val="f2a984" w:themeColor="accent2" w:themeTint="97"/>
        <w:sz w:val="22"/>
      </w:rPr>
      <w:tblPr/>
      <w:tcPr>
        <w:shd w:val="clear" w:color="fbe2d5" w:themeColor="accent2" w:themeTint="32" w:fill="fbe2d5" w:themeFill="accent2" w:themeFillTint="32"/>
      </w:tcPr>
    </w:tblStylePr>
    <w:tblStylePr w:type="band2Horz">
      <w:rPr>
        <w:rFonts w:ascii="Arial" w:hAnsi="Arial"/>
        <w:color w:val="f2a984" w:themeColor="accent2" w:themeTint="97"/>
        <w:sz w:val="22"/>
      </w:rPr>
    </w:tblStylePr>
  </w:style>
  <w:style w:type="table" w:customStyle="1" w:styleId="GridTable6Colorful-Accent3">
    <w:name w:val="Grid Table 6 Colorful - Accent 3"/>
    <w:basedOn w:val="NormalTable"/>
    <w:uiPriority w:val="99"/>
    <w:pPr>
      <w:spacing w:after="0" w:line="240" w:lineRule="auto"/>
    </w:pPr>
    <w:tblPr>
      <w:tblStyleRowBandSize w:val="1"/>
      <w:tblStyleColBandSize w:val="1"/>
      <w:tblBorders>
        <w:top w:val="single" w:color="196b25" w:themeColor="accent3" w:themeTint="fe" w:sz="4" w:space="0"/>
        <w:left w:val="single" w:color="196b25" w:themeColor="accent3" w:themeTint="fe" w:sz="4" w:space="0"/>
        <w:bottom w:val="single" w:color="196b25" w:themeColor="accent3" w:themeTint="fe" w:sz="4" w:space="0"/>
        <w:right w:val="single" w:color="196b25" w:themeColor="accent3" w:themeTint="fe" w:sz="4" w:space="0"/>
        <w:insideH w:val="single" w:color="196b25" w:themeColor="accent3" w:themeTint="fe" w:sz="4" w:space="0"/>
        <w:insideV w:val="single" w:color="196b25" w:themeColor="accent3" w:themeTint="fe" w:sz="4" w:space="0"/>
      </w:tblBorders>
    </w:tblPr>
    <w:tblStylePr w:type="firstRow">
      <w:rPr>
        <w:b/>
        <w:color w:val="196b25" w:themeColor="accent3" w:themeTint="fe"/>
      </w:rPr>
      <w:tblPr/>
      <w:tcPr>
        <w:tcBorders>
          <w:bottom w:val="single" w:color="196b25" w:themeColor="accent3" w:themeTint="fe" w:sz="12" w:space="0"/>
        </w:tcBorders>
      </w:tcPr>
    </w:tblStylePr>
    <w:tblStylePr w:type="lastRow">
      <w:rPr>
        <w:b/>
        <w:color w:val="196b25" w:themeColor="accent3" w:themeTint="fe"/>
      </w:rPr>
    </w:tblStylePr>
    <w:tblStylePr w:type="firstCol">
      <w:rPr>
        <w:b/>
        <w:color w:val="196b25" w:themeColor="accent3" w:themeTint="fe"/>
      </w:rPr>
    </w:tblStylePr>
    <w:tblStylePr w:type="lastCol">
      <w:rPr>
        <w:b/>
        <w:color w:val="196b25" w:themeColor="accent3" w:themeTint="fe"/>
      </w:rPr>
    </w:tblStylePr>
    <w:tblStylePr w:type="band1Vert">
      <w:tblPr/>
      <w:tcPr>
        <w:shd w:val="clear" w:color="c0f0c7" w:themeColor="accent3" w:themeTint="34" w:fill="c0f0c7" w:themeFill="accent3" w:themeFillTint="34"/>
      </w:tcPr>
    </w:tblStylePr>
    <w:tblStylePr w:type="band1Horz">
      <w:rPr>
        <w:rFonts w:ascii="Arial" w:hAnsi="Arial"/>
        <w:color w:val="196b25" w:themeColor="accent3" w:themeTint="fe"/>
        <w:sz w:val="22"/>
      </w:rPr>
      <w:tblPr/>
      <w:tcPr>
        <w:shd w:val="clear" w:color="c0f0c7" w:themeColor="accent3" w:themeTint="34" w:fill="c0f0c7" w:themeFill="accent3" w:themeFillTint="34"/>
      </w:tcPr>
    </w:tblStylePr>
    <w:tblStylePr w:type="band2Horz">
      <w:rPr>
        <w:rFonts w:ascii="Arial" w:hAnsi="Arial"/>
        <w:color w:val="196b25" w:themeColor="accent3" w:themeTint="fe"/>
        <w:sz w:val="22"/>
      </w:rPr>
    </w:tblStylePr>
  </w:style>
  <w:style w:type="table" w:customStyle="1" w:styleId="GridTable6Colorful-Accent4">
    <w:name w:val="Grid Table 6 Colorful - Accent 4"/>
    <w:basedOn w:val="NormalTable"/>
    <w:uiPriority w:val="99"/>
    <w:pPr>
      <w:spacing w:after="0" w:line="240" w:lineRule="auto"/>
    </w:pPr>
    <w:tblPr>
      <w:tblStyleRowBandSize w:val="1"/>
      <w:tblStyleColBandSize w:val="1"/>
      <w:tblBorders>
        <w:top w:val="single" w:color="5ec9f4" w:themeColor="accent4" w:themeTint="9a" w:sz="4" w:space="0"/>
        <w:left w:val="single" w:color="5ec9f4" w:themeColor="accent4" w:themeTint="9a" w:sz="4" w:space="0"/>
        <w:bottom w:val="single" w:color="5ec9f4" w:themeColor="accent4" w:themeTint="9a" w:sz="4" w:space="0"/>
        <w:right w:val="single" w:color="5ec9f4" w:themeColor="accent4" w:themeTint="9a" w:sz="4" w:space="0"/>
        <w:insideH w:val="single" w:color="5ec9f4" w:themeColor="accent4" w:themeTint="9a" w:sz="4" w:space="0"/>
        <w:insideV w:val="single" w:color="5ec9f4" w:themeColor="accent4" w:themeTint="9a" w:sz="4" w:space="0"/>
      </w:tblBorders>
    </w:tblPr>
    <w:tblStylePr w:type="firstRow">
      <w:rPr>
        <w:b/>
        <w:color w:val="5ec9f4" w:themeColor="accent4" w:themeTint="9a"/>
      </w:rPr>
      <w:tblPr/>
      <w:tcPr>
        <w:tcBorders>
          <w:bottom w:val="single" w:color="5ec9f4" w:themeColor="accent4" w:themeTint="9a" w:sz="12" w:space="0"/>
        </w:tcBorders>
      </w:tcPr>
    </w:tblStylePr>
    <w:tblStylePr w:type="lastRow">
      <w:rPr>
        <w:b/>
        <w:color w:val="5ec9f4" w:themeColor="accent4" w:themeTint="9a"/>
      </w:rPr>
    </w:tblStylePr>
    <w:tblStylePr w:type="firstCol">
      <w:rPr>
        <w:b/>
        <w:color w:val="5ec9f4" w:themeColor="accent4" w:themeTint="9a"/>
      </w:rPr>
    </w:tblStylePr>
    <w:tblStylePr w:type="lastCol">
      <w:rPr>
        <w:b/>
        <w:color w:val="5ec9f4" w:themeColor="accent4" w:themeTint="9a"/>
      </w:rPr>
    </w:tblStylePr>
    <w:tblStylePr w:type="band1Vert">
      <w:tblPr/>
      <w:tcPr>
        <w:shd w:val="clear" w:color="c9edfb" w:themeColor="accent4" w:themeTint="34" w:fill="c9edfb" w:themeFill="accent4" w:themeFillTint="34"/>
      </w:tcPr>
    </w:tblStylePr>
    <w:tblStylePr w:type="band1Horz">
      <w:rPr>
        <w:rFonts w:ascii="Arial" w:hAnsi="Arial"/>
        <w:color w:val="5ec9f4" w:themeColor="accent4" w:themeTint="9a"/>
        <w:sz w:val="22"/>
      </w:rPr>
      <w:tblPr/>
      <w:tcPr>
        <w:shd w:val="clear" w:color="c9edfb" w:themeColor="accent4" w:themeTint="34" w:fill="c9edfb" w:themeFill="accent4" w:themeFillTint="34"/>
      </w:tcPr>
    </w:tblStylePr>
    <w:tblStylePr w:type="band2Horz">
      <w:rPr>
        <w:rFonts w:ascii="Arial" w:hAnsi="Arial"/>
        <w:color w:val="5ec9f4" w:themeColor="accent4" w:themeTint="9a"/>
        <w:sz w:val="22"/>
      </w:rPr>
    </w:tblStylePr>
  </w:style>
  <w:style w:type="table" w:customStyle="1" w:styleId="GridTable6Colorful-Accent5">
    <w:name w:val="Grid Table 6 Colorful - Accent 5"/>
    <w:basedOn w:val="NormalTable"/>
    <w:uiPriority w:val="99"/>
    <w:pPr>
      <w:spacing w:after="0" w:line="240" w:lineRule="auto"/>
    </w:pPr>
    <w:tblPr>
      <w:tblStyleRowBandSize w:val="1"/>
      <w:tblStyleColBandSize w:val="1"/>
      <w:tblBorders>
        <w:top w:val="single" w:color="a02b93" w:themeColor="accent5" w:sz="4" w:space="0"/>
        <w:left w:val="single" w:color="a02b93" w:themeColor="accent5" w:sz="4" w:space="0"/>
        <w:bottom w:val="single" w:color="a02b93" w:themeColor="accent5" w:sz="4" w:space="0"/>
        <w:right w:val="single" w:color="a02b93" w:themeColor="accent5" w:sz="4" w:space="0"/>
        <w:insideH w:val="single" w:color="a02b93" w:themeColor="accent5" w:sz="4" w:space="0"/>
        <w:insideV w:val="single" w:color="a02b93" w:themeColor="accent5" w:sz="4" w:space="0"/>
      </w:tblBorders>
    </w:tblPr>
    <w:tblStylePr w:type="firstRow">
      <w:rPr>
        <w:b/>
        <w:color w:val="5d1955" w:themeColor="accent5" w:themeShade="95"/>
      </w:rPr>
      <w:tblPr/>
      <w:tcPr>
        <w:tcBorders>
          <w:bottom w:val="single" w:color="a02b93" w:themeColor="accent5" w:sz="12" w:space="0"/>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NormalTable"/>
    <w:uiPriority w:val="99"/>
    <w:pPr>
      <w:spacing w:after="0" w:line="240" w:lineRule="auto"/>
    </w:pPr>
    <w:tblPr>
      <w:tblStyleRowBandSize w:val="1"/>
      <w:tblStyleColBandSize w:val="1"/>
      <w:tblBorders>
        <w:top w:val="single" w:color="4ea72e" w:themeColor="accent6" w:sz="4" w:space="0"/>
        <w:left w:val="single" w:color="4ea72e" w:themeColor="accent6" w:sz="4" w:space="0"/>
        <w:bottom w:val="single" w:color="4ea72e" w:themeColor="accent6" w:sz="4" w:space="0"/>
        <w:right w:val="single" w:color="4ea72e" w:themeColor="accent6" w:sz="4" w:space="0"/>
        <w:insideH w:val="single" w:color="4ea72e" w:themeColor="accent6" w:sz="4" w:space="0"/>
        <w:insideV w:val="single" w:color="4ea72e" w:themeColor="accent6" w:sz="4" w:space="0"/>
      </w:tblBorders>
    </w:tblPr>
    <w:tblStylePr w:type="firstRow">
      <w:rPr>
        <w:b/>
        <w:color w:val="5d1955" w:themeColor="accent5" w:themeShade="95"/>
      </w:rPr>
      <w:tblPr/>
      <w:tcPr>
        <w:tcBorders>
          <w:bottom w:val="single" w:color="4ea72e" w:themeColor="accent6" w:sz="12" w:space="0"/>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7f2ce" w:themeColor="accent6" w:themeTint="34" w:fill="d7f2ce" w:themeFill="accent6" w:themeFillTint="34"/>
      </w:tcPr>
    </w:tblStylePr>
    <w:tblStylePr w:type="band1Horz">
      <w:rPr>
        <w:rFonts w:ascii="Arial" w:hAnsi="Arial"/>
        <w:color w:val="5d1955" w:themeColor="accent5" w:themeShade="95"/>
        <w:sz w:val="22"/>
      </w:rPr>
      <w:tblPr/>
      <w:tcPr>
        <w:shd w:val="clear" w:color="d7f2ce" w:themeColor="accent6" w:themeTint="34" w:fill="d7f2ce" w:themeFill="accent6" w:themeFillTint="34"/>
      </w:tcPr>
    </w:tblStylePr>
    <w:tblStylePr w:type="band2Horz">
      <w:rPr>
        <w:rFonts w:ascii="Arial" w:hAnsi="Arial"/>
        <w:color w:val="5d1955" w:themeColor="accent5" w:themeShade="95"/>
        <w:sz w:val="22"/>
      </w:rPr>
    </w:tblStylePr>
  </w:style>
  <w:style w:type="table" w:styleId="GridTable7Colorful">
    <w:name w:val="Grid Table 7 Colorful"/>
    <w:basedOn w:val="NormalTable"/>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rFonts w:ascii="Arial" w:hAnsi="Arial"/>
        <w:b/>
        <w:color w:val="7f7f7f" w:themeColor="text1" w:themeTint="80"/>
        <w:sz w:val="22"/>
      </w:rPr>
      <w:tblPr/>
      <w:tcPr>
        <w:tcBorders>
          <w:top w:val="none" w:sz="4" w:space="0"/>
          <w:left w:val="none" w:sz="4" w:space="0"/>
          <w:bottom w:val="single" w:color="7f7f7f" w:themeColor="text1" w:themeTint="80" w:sz="4" w:space="0"/>
          <w:right w:val="none" w:sz="4" w:space="0"/>
        </w:tcBorders>
        <w:shd w:val="clear" w:color="ffffff" w:themeColor="light1" w:fill="ffffff" w:themeFill="light1"/>
      </w:tcPr>
    </w:tblStylePr>
    <w:tblStylePr w:type="lastRow">
      <w:rPr>
        <w:rFonts w:ascii="Arial" w:hAnsi="Arial"/>
        <w:b/>
        <w:color w:val="7f7f7f" w:themeColor="text1" w:themeTint="80"/>
        <w:sz w:val="22"/>
      </w:rPr>
      <w:tblPr/>
      <w:tcPr>
        <w:tcBorders>
          <w:top w:val="single" w:color="7f7f7f" w:themeColor="text1" w:themeTint="80" w:sz="4" w:space="0"/>
          <w:left w:val="none" w:sz="4" w:space="0"/>
          <w:bottom w:val="none" w:sz="4" w:space="0"/>
          <w:right w:val="none" w:sz="4" w:space="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left w:val="none" w:sz="4" w:space="0"/>
          <w:bottom w:val="none" w:sz="4" w:space="0"/>
          <w:right w:val="single" w:color="7f7f7f" w:themeColor="text1" w:themeTint="80" w:sz="4" w:space="0"/>
        </w:tcBorders>
        <w:shd w:val="clear" w:color="ffffff" w:fill="auto"/>
      </w:tcPr>
    </w:tblStylePr>
    <w:tblStylePr w:type="lastCol">
      <w:rPr>
        <w:rFonts w:ascii="Arial" w:hAnsi="Arial"/>
        <w:i/>
        <w:color w:val="7f7f7f" w:themeColor="text1" w:themeTint="80"/>
        <w:sz w:val="22"/>
      </w:rPr>
      <w:tblPr/>
      <w:tcPr>
        <w:tcBorders>
          <w:top w:val="none" w:sz="4" w:space="0"/>
          <w:left w:val="single" w:color="7f7f7f" w:themeColor="text1" w:themeTint="80" w:sz="4" w:space="0"/>
          <w:bottom w:val="none" w:sz="4" w:space="0"/>
          <w:right w:val="none" w:sz="4" w:space="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NormalTable"/>
    <w:uiPriority w:val="99"/>
    <w:pPr>
      <w:spacing w:after="0" w:line="240" w:lineRule="auto"/>
    </w:pPr>
    <w:tblPr>
      <w:tblStyleRowBandSize w:val="1"/>
      <w:tblStyleColBandSize w:val="1"/>
      <w:tblBorders>
        <w:bottom w:val="single" w:color="62bde6" w:themeColor="accent1" w:themeTint="80" w:sz="4" w:space="0"/>
        <w:right w:val="single" w:color="62bde6" w:themeColor="accent1" w:themeTint="80" w:sz="4" w:space="0"/>
        <w:insideH w:val="single" w:color="62bde6" w:themeColor="accent1" w:themeTint="80" w:sz="4" w:space="0"/>
        <w:insideV w:val="single" w:color="62bde6" w:themeColor="accent1" w:themeTint="80" w:sz="4" w:space="0"/>
      </w:tblBorders>
    </w:tblPr>
    <w:tblStylePr w:type="firstRow">
      <w:rPr>
        <w:rFonts w:ascii="Arial" w:hAnsi="Arial"/>
        <w:b/>
        <w:color w:val="62bde6" w:themeColor="accent1" w:themeTint="80"/>
        <w:sz w:val="22"/>
      </w:rPr>
      <w:tblPr/>
      <w:tcPr>
        <w:tcBorders>
          <w:top w:val="none" w:sz="4" w:space="0"/>
          <w:left w:val="none" w:sz="4" w:space="0"/>
          <w:bottom w:val="single" w:color="62bde6" w:themeColor="accent1" w:themeTint="80" w:sz="4" w:space="0"/>
          <w:right w:val="none" w:sz="4" w:space="0"/>
        </w:tcBorders>
        <w:shd w:val="clear" w:color="ffffff" w:themeColor="light1" w:fill="ffffff" w:themeFill="light1"/>
      </w:tcPr>
    </w:tblStylePr>
    <w:tblStylePr w:type="lastRow">
      <w:rPr>
        <w:rFonts w:ascii="Arial" w:hAnsi="Arial"/>
        <w:b/>
        <w:color w:val="62bde6" w:themeColor="accent1" w:themeTint="80"/>
        <w:sz w:val="22"/>
      </w:rPr>
      <w:tblPr/>
      <w:tcPr>
        <w:tcBorders>
          <w:top w:val="single" w:color="62bde6" w:themeColor="accent1" w:themeTint="80" w:sz="4" w:space="0"/>
          <w:left w:val="none" w:sz="4" w:space="0"/>
          <w:bottom w:val="none" w:sz="4" w:space="0"/>
          <w:right w:val="none" w:sz="4" w:space="0"/>
        </w:tcBorders>
        <w:shd w:val="clear" w:color="ffffff" w:themeColor="light1" w:fill="ffffff" w:themeFill="light1"/>
      </w:tcPr>
    </w:tblStylePr>
    <w:tblStylePr w:type="firstCol">
      <w:pPr>
        <w:jc w:val="right"/>
      </w:pPr>
      <w:rPr>
        <w:rFonts w:ascii="Arial" w:hAnsi="Arial"/>
        <w:i/>
        <w:color w:val="62bde6" w:themeColor="accent1" w:themeTint="80"/>
        <w:sz w:val="22"/>
      </w:rPr>
      <w:tblPr/>
      <w:tcPr>
        <w:tcBorders>
          <w:top w:val="none" w:sz="4" w:space="0"/>
          <w:left w:val="none" w:sz="4" w:space="0"/>
          <w:bottom w:val="none" w:sz="4" w:space="0"/>
          <w:right w:val="single" w:color="62bde6" w:themeColor="accent1" w:themeTint="80" w:sz="4" w:space="0"/>
        </w:tcBorders>
        <w:shd w:val="clear" w:color="ffffff" w:fill="auto"/>
      </w:tcPr>
    </w:tblStylePr>
    <w:tblStylePr w:type="lastCol">
      <w:rPr>
        <w:rFonts w:ascii="Arial" w:hAnsi="Arial"/>
        <w:i/>
        <w:color w:val="62bde6" w:themeColor="accent1" w:themeTint="80"/>
        <w:sz w:val="22"/>
      </w:rPr>
      <w:tblPr/>
      <w:tcPr>
        <w:tcBorders>
          <w:top w:val="none" w:sz="4" w:space="0"/>
          <w:left w:val="single" w:color="62bde6" w:themeColor="accent1" w:themeTint="80" w:sz="4" w:space="0"/>
          <w:bottom w:val="none" w:sz="4" w:space="0"/>
          <w:right w:val="none" w:sz="4" w:space="0"/>
        </w:tcBorders>
        <w:shd w:val="clear" w:color="ffffff" w:fill="auto"/>
      </w:tcPr>
    </w:tblStylePr>
    <w:tblStylePr w:type="band1Vert">
      <w:tblPr/>
      <w:tcPr>
        <w:shd w:val="clear" w:color="bfe4f5" w:themeColor="accent1" w:themeTint="34" w:fill="bfe4f5" w:themeFill="accent1" w:themeFillTint="34"/>
      </w:tcPr>
    </w:tblStylePr>
    <w:tblStylePr w:type="band1Horz">
      <w:rPr>
        <w:rFonts w:ascii="Arial" w:hAnsi="Arial"/>
        <w:color w:val="62bde6" w:themeColor="accent1" w:themeTint="80"/>
        <w:sz w:val="22"/>
      </w:rPr>
      <w:tblPr/>
      <w:tcPr>
        <w:shd w:val="clear" w:color="bfe4f5" w:themeColor="accent1" w:themeTint="34" w:fill="bfe4f5" w:themeFill="accent1" w:themeFillTint="34"/>
      </w:tcPr>
    </w:tblStylePr>
    <w:tblStylePr w:type="band2Horz">
      <w:rPr>
        <w:rFonts w:ascii="Arial" w:hAnsi="Arial"/>
        <w:color w:val="62bde6" w:themeColor="accent1" w:themeTint="80"/>
        <w:sz w:val="22"/>
      </w:rPr>
    </w:tblStylePr>
  </w:style>
  <w:style w:type="table" w:customStyle="1" w:styleId="GridTable7Colorful-Accent2">
    <w:name w:val="Grid Table 7 Colorful - Accent 2"/>
    <w:basedOn w:val="NormalTable"/>
    <w:uiPriority w:val="99"/>
    <w:pPr>
      <w:spacing w:after="0" w:line="240" w:lineRule="auto"/>
    </w:pPr>
    <w:tblPr>
      <w:tblStyleRowBandSize w:val="1"/>
      <w:tblStyleColBandSize w:val="1"/>
      <w:tblBorders>
        <w:bottom w:val="single" w:color="f2a984" w:themeColor="accent2" w:themeTint="97" w:sz="4" w:space="0"/>
        <w:right w:val="single" w:color="f2a984" w:themeColor="accent2" w:themeTint="97" w:sz="4" w:space="0"/>
        <w:insideH w:val="single" w:color="f2a984" w:themeColor="accent2" w:themeTint="97" w:sz="4" w:space="0"/>
        <w:insideV w:val="single" w:color="f2a984" w:themeColor="accent2" w:themeTint="97" w:sz="4" w:space="0"/>
      </w:tblBorders>
    </w:tblPr>
    <w:tblStylePr w:type="firstRow">
      <w:rPr>
        <w:rFonts w:ascii="Arial" w:hAnsi="Arial"/>
        <w:b/>
        <w:color w:val="f2a984" w:themeColor="accent2" w:themeTint="97"/>
        <w:sz w:val="22"/>
      </w:rPr>
      <w:tblPr/>
      <w:tcPr>
        <w:tcBorders>
          <w:top w:val="none" w:sz="4" w:space="0"/>
          <w:left w:val="none" w:sz="4" w:space="0"/>
          <w:bottom w:val="single" w:color="f2a984" w:themeColor="accent2" w:themeTint="97" w:sz="4" w:space="0"/>
          <w:right w:val="none" w:sz="4" w:space="0"/>
        </w:tcBorders>
        <w:shd w:val="clear" w:color="ffffff" w:themeColor="light1" w:fill="ffffff" w:themeFill="light1"/>
      </w:tcPr>
    </w:tblStylePr>
    <w:tblStylePr w:type="lastRow">
      <w:rPr>
        <w:rFonts w:ascii="Arial" w:hAnsi="Arial"/>
        <w:b/>
        <w:color w:val="f2a984" w:themeColor="accent2" w:themeTint="97"/>
        <w:sz w:val="22"/>
      </w:rPr>
      <w:tblPr/>
      <w:tcPr>
        <w:tcBorders>
          <w:top w:val="single" w:color="f2a984" w:themeColor="accent2" w:themeTint="97" w:sz="4" w:space="0"/>
          <w:left w:val="none" w:sz="4" w:space="0"/>
          <w:bottom w:val="none" w:sz="4" w:space="0"/>
          <w:right w:val="none" w:sz="4" w:space="0"/>
        </w:tcBorders>
        <w:shd w:val="clear" w:color="ffffff" w:themeColor="light1" w:fill="ffffff" w:themeFill="light1"/>
      </w:tcPr>
    </w:tblStylePr>
    <w:tblStylePr w:type="firstCol">
      <w:pPr>
        <w:jc w:val="right"/>
      </w:pPr>
      <w:rPr>
        <w:rFonts w:ascii="Arial" w:hAnsi="Arial"/>
        <w:i/>
        <w:color w:val="f2a984" w:themeColor="accent2" w:themeTint="97"/>
        <w:sz w:val="22"/>
      </w:rPr>
      <w:tblPr/>
      <w:tcPr>
        <w:tcBorders>
          <w:top w:val="none" w:sz="4" w:space="0"/>
          <w:left w:val="none" w:sz="4" w:space="0"/>
          <w:bottom w:val="none" w:sz="4" w:space="0"/>
          <w:right w:val="single" w:color="f2a984" w:themeColor="accent2" w:themeTint="97" w:sz="4" w:space="0"/>
        </w:tcBorders>
        <w:shd w:val="clear" w:color="ffffff" w:fill="auto"/>
      </w:tcPr>
    </w:tblStylePr>
    <w:tblStylePr w:type="lastCol">
      <w:rPr>
        <w:rFonts w:ascii="Arial" w:hAnsi="Arial"/>
        <w:i/>
        <w:color w:val="f2a984" w:themeColor="accent2" w:themeTint="97"/>
        <w:sz w:val="22"/>
      </w:rPr>
      <w:tblPr/>
      <w:tcPr>
        <w:tcBorders>
          <w:top w:val="none" w:sz="4" w:space="0"/>
          <w:left w:val="single" w:color="f2a984" w:themeColor="accent2" w:themeTint="97" w:sz="4" w:space="0"/>
          <w:bottom w:val="none" w:sz="4" w:space="0"/>
          <w:right w:val="none" w:sz="4" w:space="0"/>
        </w:tcBorders>
        <w:shd w:val="clear" w:color="ffffff" w:fill="auto"/>
      </w:tcPr>
    </w:tblStylePr>
    <w:tblStylePr w:type="band1Vert">
      <w:tblPr/>
      <w:tcPr>
        <w:shd w:val="clear" w:color="fbe2d5" w:themeColor="accent2" w:themeTint="32" w:fill="fbe2d5" w:themeFill="accent2" w:themeFillTint="32"/>
      </w:tcPr>
    </w:tblStylePr>
    <w:tblStylePr w:type="band1Horz">
      <w:rPr>
        <w:rFonts w:ascii="Arial" w:hAnsi="Arial"/>
        <w:color w:val="f2a984" w:themeColor="accent2" w:themeTint="97"/>
        <w:sz w:val="22"/>
      </w:rPr>
      <w:tblPr/>
      <w:tcPr>
        <w:shd w:val="clear" w:color="fbe2d5" w:themeColor="accent2" w:themeTint="32" w:fill="fbe2d5" w:themeFill="accent2" w:themeFillTint="32"/>
      </w:tcPr>
    </w:tblStylePr>
    <w:tblStylePr w:type="band2Horz">
      <w:rPr>
        <w:rFonts w:ascii="Arial" w:hAnsi="Arial"/>
        <w:color w:val="f2a984" w:themeColor="accent2" w:themeTint="97"/>
        <w:sz w:val="22"/>
      </w:rPr>
    </w:tblStylePr>
  </w:style>
  <w:style w:type="table" w:customStyle="1" w:styleId="GridTable7Colorful-Accent3">
    <w:name w:val="Grid Table 7 Colorful - Accent 3"/>
    <w:basedOn w:val="NormalTable"/>
    <w:uiPriority w:val="99"/>
    <w:pPr>
      <w:spacing w:after="0" w:line="240" w:lineRule="auto"/>
    </w:pPr>
    <w:tblPr>
      <w:tblStyleRowBandSize w:val="1"/>
      <w:tblStyleColBandSize w:val="1"/>
      <w:tblBorders>
        <w:bottom w:val="single" w:color="196b25" w:themeColor="accent3" w:themeTint="fe" w:sz="4" w:space="0"/>
        <w:right w:val="single" w:color="196b25" w:themeColor="accent3" w:themeTint="fe" w:sz="4" w:space="0"/>
        <w:insideH w:val="single" w:color="196b25" w:themeColor="accent3" w:themeTint="fe" w:sz="4" w:space="0"/>
        <w:insideV w:val="single" w:color="196b25" w:themeColor="accent3" w:themeTint="fe" w:sz="4" w:space="0"/>
      </w:tblBorders>
    </w:tblPr>
    <w:tblStylePr w:type="firstRow">
      <w:rPr>
        <w:rFonts w:ascii="Arial" w:hAnsi="Arial"/>
        <w:b/>
        <w:color w:val="196b25" w:themeColor="accent3" w:themeTint="fe"/>
        <w:sz w:val="22"/>
      </w:rPr>
      <w:tblPr/>
      <w:tcPr>
        <w:tcBorders>
          <w:top w:val="none" w:sz="4" w:space="0"/>
          <w:left w:val="none" w:sz="4" w:space="0"/>
          <w:bottom w:val="single" w:color="196b25" w:themeColor="accent3" w:themeTint="fe" w:sz="4" w:space="0"/>
          <w:right w:val="none" w:sz="4" w:space="0"/>
        </w:tcBorders>
        <w:shd w:val="clear" w:color="ffffff" w:themeColor="light1" w:fill="ffffff" w:themeFill="light1"/>
      </w:tcPr>
    </w:tblStylePr>
    <w:tblStylePr w:type="lastRow">
      <w:rPr>
        <w:rFonts w:ascii="Arial" w:hAnsi="Arial"/>
        <w:b/>
        <w:color w:val="196b25" w:themeColor="accent3" w:themeTint="fe"/>
        <w:sz w:val="22"/>
      </w:rPr>
      <w:tblPr/>
      <w:tcPr>
        <w:tcBorders>
          <w:top w:val="single" w:color="196b25" w:themeColor="accent3" w:themeTint="fe" w:sz="4" w:space="0"/>
          <w:left w:val="none" w:sz="4" w:space="0"/>
          <w:bottom w:val="none" w:sz="4" w:space="0"/>
          <w:right w:val="none" w:sz="4" w:space="0"/>
        </w:tcBorders>
        <w:shd w:val="clear" w:color="ffffff" w:themeColor="light1" w:fill="ffffff" w:themeFill="light1"/>
      </w:tcPr>
    </w:tblStylePr>
    <w:tblStylePr w:type="firstCol">
      <w:pPr>
        <w:jc w:val="right"/>
      </w:pPr>
      <w:rPr>
        <w:rFonts w:ascii="Arial" w:hAnsi="Arial"/>
        <w:i/>
        <w:color w:val="196b25" w:themeColor="accent3" w:themeTint="fe"/>
        <w:sz w:val="22"/>
      </w:rPr>
      <w:tblPr/>
      <w:tcPr>
        <w:tcBorders>
          <w:top w:val="none" w:sz="4" w:space="0"/>
          <w:left w:val="none" w:sz="4" w:space="0"/>
          <w:bottom w:val="none" w:sz="4" w:space="0"/>
          <w:right w:val="single" w:color="196b25" w:themeColor="accent3" w:themeTint="fe" w:sz="4" w:space="0"/>
        </w:tcBorders>
        <w:shd w:val="clear" w:color="ffffff" w:fill="auto"/>
      </w:tcPr>
    </w:tblStylePr>
    <w:tblStylePr w:type="lastCol">
      <w:rPr>
        <w:rFonts w:ascii="Arial" w:hAnsi="Arial"/>
        <w:i/>
        <w:color w:val="196b25" w:themeColor="accent3" w:themeTint="fe"/>
        <w:sz w:val="22"/>
      </w:rPr>
      <w:tblPr/>
      <w:tcPr>
        <w:tcBorders>
          <w:top w:val="none" w:sz="4" w:space="0"/>
          <w:left w:val="single" w:color="196b25" w:themeColor="accent3" w:themeTint="fe" w:sz="4" w:space="0"/>
          <w:bottom w:val="none" w:sz="4" w:space="0"/>
          <w:right w:val="none" w:sz="4" w:space="0"/>
        </w:tcBorders>
        <w:shd w:val="clear" w:color="ffffff" w:fill="auto"/>
      </w:tcPr>
    </w:tblStylePr>
    <w:tblStylePr w:type="band1Vert">
      <w:tblPr/>
      <w:tcPr>
        <w:shd w:val="clear" w:color="c0f0c7" w:themeColor="accent3" w:themeTint="34" w:fill="c0f0c7" w:themeFill="accent3" w:themeFillTint="34"/>
      </w:tcPr>
    </w:tblStylePr>
    <w:tblStylePr w:type="band1Horz">
      <w:rPr>
        <w:rFonts w:ascii="Arial" w:hAnsi="Arial"/>
        <w:color w:val="196b25" w:themeColor="accent3" w:themeTint="fe"/>
        <w:sz w:val="22"/>
      </w:rPr>
      <w:tblPr/>
      <w:tcPr>
        <w:shd w:val="clear" w:color="c0f0c7" w:themeColor="accent3" w:themeTint="34" w:fill="c0f0c7" w:themeFill="accent3" w:themeFillTint="34"/>
      </w:tcPr>
    </w:tblStylePr>
    <w:tblStylePr w:type="band2Horz">
      <w:rPr>
        <w:rFonts w:ascii="Arial" w:hAnsi="Arial"/>
        <w:color w:val="196b25" w:themeColor="accent3" w:themeTint="fe"/>
        <w:sz w:val="22"/>
      </w:rPr>
    </w:tblStylePr>
  </w:style>
  <w:style w:type="table" w:customStyle="1" w:styleId="GridTable7Colorful-Accent4">
    <w:name w:val="Grid Table 7 Colorful - Accent 4"/>
    <w:basedOn w:val="NormalTable"/>
    <w:uiPriority w:val="99"/>
    <w:pPr>
      <w:spacing w:after="0" w:line="240" w:lineRule="auto"/>
    </w:pPr>
    <w:tblPr>
      <w:tblStyleRowBandSize w:val="1"/>
      <w:tblStyleColBandSize w:val="1"/>
      <w:tblBorders>
        <w:bottom w:val="single" w:color="5ec9f4" w:themeColor="accent4" w:themeTint="9a" w:sz="4" w:space="0"/>
        <w:right w:val="single" w:color="5ec9f4" w:themeColor="accent4" w:themeTint="9a" w:sz="4" w:space="0"/>
        <w:insideH w:val="single" w:color="5ec9f4" w:themeColor="accent4" w:themeTint="9a" w:sz="4" w:space="0"/>
        <w:insideV w:val="single" w:color="5ec9f4" w:themeColor="accent4" w:themeTint="9a" w:sz="4" w:space="0"/>
      </w:tblBorders>
    </w:tblPr>
    <w:tblStylePr w:type="firstRow">
      <w:rPr>
        <w:rFonts w:ascii="Arial" w:hAnsi="Arial"/>
        <w:b/>
        <w:color w:val="5ec9f4" w:themeColor="accent4" w:themeTint="9a"/>
        <w:sz w:val="22"/>
      </w:rPr>
      <w:tblPr/>
      <w:tcPr>
        <w:tcBorders>
          <w:top w:val="none" w:sz="4" w:space="0"/>
          <w:left w:val="none" w:sz="4" w:space="0"/>
          <w:bottom w:val="single" w:color="5ec9f4" w:themeColor="accent4" w:themeTint="9a" w:sz="4" w:space="0"/>
          <w:right w:val="none" w:sz="4" w:space="0"/>
        </w:tcBorders>
        <w:shd w:val="clear" w:color="ffffff" w:themeColor="light1" w:fill="ffffff" w:themeFill="light1"/>
      </w:tcPr>
    </w:tblStylePr>
    <w:tblStylePr w:type="lastRow">
      <w:rPr>
        <w:rFonts w:ascii="Arial" w:hAnsi="Arial"/>
        <w:b/>
        <w:color w:val="5ec9f4" w:themeColor="accent4" w:themeTint="9a"/>
        <w:sz w:val="22"/>
      </w:rPr>
      <w:tblPr/>
      <w:tcPr>
        <w:tcBorders>
          <w:top w:val="single" w:color="5ec9f4" w:themeColor="accent4" w:themeTint="9a" w:sz="4" w:space="0"/>
          <w:left w:val="none" w:sz="4" w:space="0"/>
          <w:bottom w:val="none" w:sz="4" w:space="0"/>
          <w:right w:val="none" w:sz="4" w:space="0"/>
        </w:tcBorders>
        <w:shd w:val="clear" w:color="ffffff" w:themeColor="light1" w:fill="ffffff" w:themeFill="light1"/>
      </w:tcPr>
    </w:tblStylePr>
    <w:tblStylePr w:type="firstCol">
      <w:pPr>
        <w:jc w:val="right"/>
      </w:pPr>
      <w:rPr>
        <w:rFonts w:ascii="Arial" w:hAnsi="Arial"/>
        <w:i/>
        <w:color w:val="5ec9f4" w:themeColor="accent4" w:themeTint="9a"/>
        <w:sz w:val="22"/>
      </w:rPr>
      <w:tblPr/>
      <w:tcPr>
        <w:tcBorders>
          <w:top w:val="none" w:sz="4" w:space="0"/>
          <w:left w:val="none" w:sz="4" w:space="0"/>
          <w:bottom w:val="none" w:sz="4" w:space="0"/>
          <w:right w:val="single" w:color="5ec9f4" w:themeColor="accent4" w:themeTint="9a" w:sz="4" w:space="0"/>
        </w:tcBorders>
        <w:shd w:val="clear" w:color="ffffff" w:fill="auto"/>
      </w:tcPr>
    </w:tblStylePr>
    <w:tblStylePr w:type="lastCol">
      <w:rPr>
        <w:rFonts w:ascii="Arial" w:hAnsi="Arial"/>
        <w:i/>
        <w:color w:val="5ec9f4" w:themeColor="accent4" w:themeTint="9a"/>
        <w:sz w:val="22"/>
      </w:rPr>
      <w:tblPr/>
      <w:tcPr>
        <w:tcBorders>
          <w:top w:val="none" w:sz="4" w:space="0"/>
          <w:left w:val="single" w:color="5ec9f4" w:themeColor="accent4" w:themeTint="9a" w:sz="4" w:space="0"/>
          <w:bottom w:val="none" w:sz="4" w:space="0"/>
          <w:right w:val="none" w:sz="4" w:space="0"/>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ec9f4" w:themeColor="accent4" w:themeTint="9a"/>
        <w:sz w:val="22"/>
      </w:rPr>
      <w:tblPr/>
      <w:tcPr>
        <w:shd w:val="clear" w:color="c9edfb" w:themeColor="accent4" w:themeTint="34" w:fill="c9edfb" w:themeFill="accent4" w:themeFillTint="34"/>
      </w:tcPr>
    </w:tblStylePr>
    <w:tblStylePr w:type="band2Horz">
      <w:rPr>
        <w:rFonts w:ascii="Arial" w:hAnsi="Arial"/>
        <w:color w:val="5ec9f4" w:themeColor="accent4" w:themeTint="9a"/>
        <w:sz w:val="22"/>
      </w:rPr>
    </w:tblStylePr>
  </w:style>
  <w:style w:type="table" w:customStyle="1" w:styleId="GridTable7Colorful-Accent5">
    <w:name w:val="Grid Table 7 Colorful - Accent 5"/>
    <w:basedOn w:val="NormalTable"/>
    <w:uiPriority w:val="99"/>
    <w:pPr>
      <w:spacing w:after="0" w:line="240" w:lineRule="auto"/>
    </w:pPr>
    <w:tblPr>
      <w:tblStyleRowBandSize w:val="1"/>
      <w:tblStyleColBandSize w:val="1"/>
      <w:tblBorders>
        <w:bottom w:val="single" w:color="da76ce" w:themeColor="accent5" w:themeTint="90" w:sz="4" w:space="0"/>
        <w:right w:val="single" w:color="da76ce" w:themeColor="accent5" w:themeTint="90" w:sz="4" w:space="0"/>
        <w:insideH w:val="single" w:color="da76ce" w:themeColor="accent5" w:themeTint="90" w:sz="4" w:space="0"/>
        <w:insideV w:val="single" w:color="da76ce" w:themeColor="accent5" w:themeTint="90" w:sz="4" w:space="0"/>
      </w:tblBorders>
    </w:tblPr>
    <w:tblStylePr w:type="firstRow">
      <w:rPr>
        <w:rFonts w:ascii="Arial" w:hAnsi="Arial"/>
        <w:b/>
        <w:color w:val="5d1955" w:themeColor="accent5" w:themeShade="95"/>
        <w:sz w:val="22"/>
      </w:rPr>
      <w:tblPr/>
      <w:tcPr>
        <w:tcBorders>
          <w:top w:val="none" w:sz="4" w:space="0"/>
          <w:left w:val="none" w:sz="4" w:space="0"/>
          <w:bottom w:val="single" w:color="da76ce" w:themeColor="accent5" w:themeTint="90" w:sz="4" w:space="0"/>
          <w:right w:val="none" w:sz="4" w:space="0"/>
        </w:tcBorders>
        <w:shd w:val="clear" w:color="ffffff" w:themeColor="light1" w:fill="ffffff" w:themeFill="light1"/>
      </w:tcPr>
    </w:tblStylePr>
    <w:tblStylePr w:type="lastRow">
      <w:rPr>
        <w:rFonts w:ascii="Arial" w:hAnsi="Arial"/>
        <w:b/>
        <w:color w:val="5d1955" w:themeColor="accent5" w:themeShade="95"/>
        <w:sz w:val="22"/>
      </w:rPr>
      <w:tblPr/>
      <w:tcPr>
        <w:tcBorders>
          <w:top w:val="single" w:color="da76ce" w:themeColor="accent5" w:themeTint="90" w:sz="4" w:space="0"/>
          <w:left w:val="none" w:sz="4" w:space="0"/>
          <w:bottom w:val="none" w:sz="4" w:space="0"/>
          <w:right w:val="none" w:sz="4" w:space="0"/>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4" w:space="0"/>
          <w:left w:val="none" w:sz="4" w:space="0"/>
          <w:bottom w:val="none" w:sz="4" w:space="0"/>
          <w:right w:val="single" w:color="da76ce" w:themeColor="accent5" w:themeTint="90" w:sz="4" w:space="0"/>
        </w:tcBorders>
        <w:shd w:val="clear" w:color="ffffff" w:fill="auto"/>
      </w:tcPr>
    </w:tblStylePr>
    <w:tblStylePr w:type="lastCol">
      <w:rPr>
        <w:rFonts w:ascii="Arial" w:hAnsi="Arial"/>
        <w:i/>
        <w:color w:val="5d1955" w:themeColor="accent5" w:themeShade="95"/>
        <w:sz w:val="22"/>
      </w:rPr>
      <w:tblPr/>
      <w:tcPr>
        <w:tcBorders>
          <w:top w:val="none" w:sz="4" w:space="0"/>
          <w:left w:val="single" w:color="da76ce" w:themeColor="accent5" w:themeTint="90" w:sz="4" w:space="0"/>
          <w:bottom w:val="none" w:sz="4" w:space="0"/>
          <w:right w:val="none" w:sz="4" w:space="0"/>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NormalTable"/>
    <w:uiPriority w:val="99"/>
    <w:pPr>
      <w:spacing w:after="0" w:line="240" w:lineRule="auto"/>
    </w:pPr>
    <w:tblPr>
      <w:tblStyleRowBandSize w:val="1"/>
      <w:tblStyleColBandSize w:val="1"/>
      <w:tblBorders>
        <w:bottom w:val="single" w:color="93da7a" w:themeColor="accent6" w:themeTint="90" w:sz="4" w:space="0"/>
        <w:right w:val="single" w:color="93da7a" w:themeColor="accent6" w:themeTint="90" w:sz="4" w:space="0"/>
        <w:insideH w:val="single" w:color="93da7a" w:themeColor="accent6" w:themeTint="90" w:sz="4" w:space="0"/>
        <w:insideV w:val="single" w:color="93da7a" w:themeColor="accent6" w:themeTint="90" w:sz="4" w:space="0"/>
      </w:tblBorders>
    </w:tblPr>
    <w:tblStylePr w:type="firstRow">
      <w:rPr>
        <w:rFonts w:ascii="Arial" w:hAnsi="Arial"/>
        <w:b/>
        <w:color w:val="2c601a" w:themeColor="accent6" w:themeShade="95"/>
        <w:sz w:val="22"/>
      </w:rPr>
      <w:tblPr/>
      <w:tcPr>
        <w:tcBorders>
          <w:top w:val="none" w:sz="4" w:space="0"/>
          <w:left w:val="none" w:sz="4" w:space="0"/>
          <w:bottom w:val="single" w:color="93da7a" w:themeColor="accent6" w:themeTint="90" w:sz="4" w:space="0"/>
          <w:right w:val="none" w:sz="4" w:space="0"/>
        </w:tcBorders>
        <w:shd w:val="clear" w:color="ffffff" w:themeColor="light1" w:fill="ffffff" w:themeFill="light1"/>
      </w:tcPr>
    </w:tblStylePr>
    <w:tblStylePr w:type="lastRow">
      <w:rPr>
        <w:rFonts w:ascii="Arial" w:hAnsi="Arial"/>
        <w:b/>
        <w:color w:val="2c601a" w:themeColor="accent6" w:themeShade="95"/>
        <w:sz w:val="22"/>
      </w:rPr>
      <w:tblPr/>
      <w:tcPr>
        <w:tcBorders>
          <w:top w:val="single" w:color="93da7a" w:themeColor="accent6" w:themeTint="90" w:sz="4" w:space="0"/>
          <w:left w:val="none" w:sz="4" w:space="0"/>
          <w:bottom w:val="none" w:sz="4" w:space="0"/>
          <w:right w:val="none" w:sz="4" w:space="0"/>
        </w:tcBorders>
        <w:shd w:val="clear" w:color="ffffff" w:themeColor="light1" w:fill="ffffff" w:themeFill="light1"/>
      </w:tcPr>
    </w:tblStylePr>
    <w:tblStylePr w:type="firstCol">
      <w:pPr>
        <w:jc w:val="right"/>
      </w:pPr>
      <w:rPr>
        <w:rFonts w:ascii="Arial" w:hAnsi="Arial"/>
        <w:i/>
        <w:color w:val="2c601a" w:themeColor="accent6" w:themeShade="95"/>
        <w:sz w:val="22"/>
      </w:rPr>
      <w:tblPr/>
      <w:tcPr>
        <w:tcBorders>
          <w:top w:val="none" w:sz="4" w:space="0"/>
          <w:left w:val="none" w:sz="4" w:space="0"/>
          <w:bottom w:val="none" w:sz="4" w:space="0"/>
          <w:right w:val="single" w:color="93da7a" w:themeColor="accent6" w:themeTint="90" w:sz="4" w:space="0"/>
        </w:tcBorders>
        <w:shd w:val="clear" w:color="ffffff" w:fill="auto"/>
      </w:tcPr>
    </w:tblStylePr>
    <w:tblStylePr w:type="lastCol">
      <w:rPr>
        <w:rFonts w:ascii="Arial" w:hAnsi="Arial"/>
        <w:i/>
        <w:color w:val="2c601a" w:themeColor="accent6" w:themeShade="95"/>
        <w:sz w:val="22"/>
      </w:rPr>
      <w:tblPr/>
      <w:tcPr>
        <w:tcBorders>
          <w:top w:val="none" w:sz="4" w:space="0"/>
          <w:left w:val="single" w:color="93da7a" w:themeColor="accent6" w:themeTint="90" w:sz="4" w:space="0"/>
          <w:bottom w:val="none" w:sz="4" w:space="0"/>
          <w:right w:val="none" w:sz="4" w:space="0"/>
        </w:tcBorders>
        <w:shd w:val="clear" w:color="ffffff" w:fill="auto"/>
      </w:tcPr>
    </w:tblStylePr>
    <w:tblStylePr w:type="band1Vert">
      <w:tblPr/>
      <w:tcPr>
        <w:shd w:val="clear" w:color="d7f2ce" w:themeColor="accent6" w:themeTint="34" w:fill="d7f2ce" w:themeFill="accent6" w:themeFillTint="34"/>
      </w:tcPr>
    </w:tblStylePr>
    <w:tblStylePr w:type="band1Horz">
      <w:rPr>
        <w:rFonts w:ascii="Arial" w:hAnsi="Arial"/>
        <w:color w:val="2c601a" w:themeColor="accent6" w:themeShade="95"/>
        <w:sz w:val="22"/>
      </w:rPr>
      <w:tblPr/>
      <w:tcPr>
        <w:shd w:val="clear" w:color="d7f2ce" w:themeColor="accent6" w:themeTint="34" w:fill="d7f2ce" w:themeFill="accent6" w:themeFillTint="34"/>
      </w:tcPr>
    </w:tblStylePr>
    <w:tblStylePr w:type="band2Horz">
      <w:rPr>
        <w:rFonts w:ascii="Arial" w:hAnsi="Arial"/>
        <w:color w:val="2c601a" w:themeColor="accent6" w:themeShade="95"/>
        <w:sz w:val="22"/>
      </w:rPr>
    </w:tblStylePr>
  </w:style>
  <w:style w:type="table" w:styleId="ListTable1Light">
    <w:name w:val="List Table 1 Light"/>
    <w:basedOn w:val="NormalTable"/>
    <w:uiPriority w:val="99"/>
    <w:pPr>
      <w:spacing w:after="0" w:line="240" w:lineRule="auto"/>
    </w:pPr>
    <w:tblPr>
      <w:tblStyleRowBandSize w:val="1"/>
      <w:tblStyleColBandSize w:val="1"/>
    </w:tblPr>
    <w:tblStylePr w:type="firstRow">
      <w:rPr>
        <w:b/>
        <w:color w:val="404040"/>
      </w:rPr>
      <w:tblPr/>
      <w:tcPr>
        <w:tcBorders>
          <w:top w:val="none" w:sz="4" w:space="0"/>
          <w:left w:val="none" w:sz="4" w:space="0"/>
          <w:bottom w:val="single" w:color="000000" w:themeColor="text1" w:sz="4" w:space="0"/>
          <w:right w:val="none" w:sz="4" w:space="0"/>
        </w:tcBorders>
      </w:tcPr>
    </w:tblStylePr>
    <w:tblStylePr w:type="lastRow">
      <w:rPr>
        <w:b/>
        <w:color w:val="404040"/>
      </w:rPr>
      <w:tblPr/>
      <w:tcPr>
        <w:tcBorders>
          <w:top w:val="single" w:color="000000" w:themeColor="text1" w:sz="4" w:space="0"/>
          <w:left w:val="none" w:sz="4" w:space="0"/>
          <w:bottom w:val="none" w:sz="4" w:space="0"/>
          <w:right w:val="none" w:sz="4" w:space="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Table"/>
    <w:uiPriority w:val="99"/>
    <w:pPr>
      <w:spacing w:after="0" w:line="240" w:lineRule="auto"/>
    </w:pPr>
    <w:tblPr>
      <w:tblStyleRowBandSize w:val="1"/>
      <w:tblStyleColBandSize w:val="1"/>
    </w:tblPr>
    <w:tblStylePr w:type="firstRow">
      <w:rPr>
        <w:b/>
        <w:color w:val="404040"/>
      </w:rPr>
      <w:tblPr/>
      <w:tcPr>
        <w:tcBorders>
          <w:top w:val="none" w:sz="4" w:space="0"/>
          <w:left w:val="none" w:sz="4" w:space="0"/>
          <w:bottom w:val="single" w:color="156082" w:themeColor="accent1" w:sz="4" w:space="0"/>
          <w:right w:val="none" w:sz="4" w:space="0"/>
        </w:tcBorders>
      </w:tcPr>
    </w:tblStylePr>
    <w:tblStylePr w:type="lastRow">
      <w:rPr>
        <w:b/>
        <w:color w:val="404040"/>
      </w:rPr>
      <w:tblPr/>
      <w:tcPr>
        <w:tcBorders>
          <w:top w:val="single" w:color="156082" w:themeColor="accent1" w:sz="4" w:space="0"/>
          <w:left w:val="none" w:sz="4" w:space="0"/>
          <w:bottom w:val="none" w:sz="4" w:space="0"/>
          <w:right w:val="none" w:sz="4" w:space="0"/>
        </w:tcBorders>
      </w:tcPr>
    </w:tblStylePr>
    <w:tblStylePr w:type="firstCol">
      <w:rPr>
        <w:b/>
        <w:color w:val="404040"/>
      </w:rPr>
    </w:tblStylePr>
    <w:tblStylePr w:type="lastCol">
      <w:rPr>
        <w:b/>
        <w:color w:val="404040"/>
      </w:rPr>
    </w:tblStylePr>
    <w:tblStylePr w:type="band1Vert">
      <w:tblPr/>
      <w:tcPr>
        <w:shd w:val="clear" w:color="b0def2" w:themeColor="accent1" w:themeTint="40" w:fill="b0def2" w:themeFill="accent1" w:themeFillTint="40"/>
      </w:tcPr>
    </w:tblStylePr>
    <w:tblStylePr w:type="band1Horz">
      <w:tblPr/>
      <w:tcPr>
        <w:shd w:val="clear" w:color="b0def2" w:themeColor="accent1" w:themeTint="40" w:fill="b0def2" w:themeFill="accent1" w:themeFillTint="40"/>
      </w:tcPr>
    </w:tblStylePr>
  </w:style>
  <w:style w:type="table" w:customStyle="1" w:styleId="ListTable1Light-Accent2">
    <w:name w:val="List Table 1 Light - Accent 2"/>
    <w:basedOn w:val="NormalTable"/>
    <w:uiPriority w:val="99"/>
    <w:pPr>
      <w:spacing w:after="0" w:line="240" w:lineRule="auto"/>
    </w:pPr>
    <w:tblPr>
      <w:tblStyleRowBandSize w:val="1"/>
      <w:tblStyleColBandSize w:val="1"/>
    </w:tblPr>
    <w:tblStylePr w:type="firstRow">
      <w:rPr>
        <w:b/>
        <w:color w:val="404040"/>
      </w:rPr>
      <w:tblPr/>
      <w:tcPr>
        <w:tcBorders>
          <w:top w:val="none" w:sz="4" w:space="0"/>
          <w:left w:val="none" w:sz="4" w:space="0"/>
          <w:bottom w:val="single" w:color="e97132" w:themeColor="accent2" w:sz="4" w:space="0"/>
          <w:right w:val="none" w:sz="4" w:space="0"/>
        </w:tcBorders>
      </w:tcPr>
    </w:tblStylePr>
    <w:tblStylePr w:type="lastRow">
      <w:rPr>
        <w:b/>
        <w:color w:val="404040"/>
      </w:rPr>
      <w:tblPr/>
      <w:tcPr>
        <w:tcBorders>
          <w:top w:val="single" w:color="e97132" w:themeColor="accent2" w:sz="4" w:space="0"/>
          <w:left w:val="none" w:sz="4" w:space="0"/>
          <w:bottom w:val="none" w:sz="4" w:space="0"/>
          <w:right w:val="none" w:sz="4" w:space="0"/>
        </w:tcBorders>
      </w:tcPr>
    </w:tblStylePr>
    <w:tblStylePr w:type="firstCol">
      <w:rPr>
        <w:b/>
        <w:color w:val="404040"/>
      </w:rPr>
    </w:tblStylePr>
    <w:tblStylePr w:type="lastCol">
      <w:rPr>
        <w:b/>
        <w:color w:val="404040"/>
      </w:rPr>
    </w:tblStylePr>
    <w:tblStylePr w:type="band1Vert">
      <w:tblPr/>
      <w:tcPr>
        <w:shd w:val="clear" w:color="f9dacb" w:themeColor="accent2" w:themeTint="40" w:fill="f9dacb" w:themeFill="accent2" w:themeFillTint="40"/>
      </w:tcPr>
    </w:tblStylePr>
    <w:tblStylePr w:type="band1Horz">
      <w:tblPr/>
      <w:tcPr>
        <w:shd w:val="clear" w:color="f9dacb" w:themeColor="accent2" w:themeTint="40" w:fill="f9dacb" w:themeFill="accent2" w:themeFillTint="40"/>
      </w:tcPr>
    </w:tblStylePr>
  </w:style>
  <w:style w:type="table" w:customStyle="1" w:styleId="ListTable1Light-Accent3">
    <w:name w:val="List Table 1 Light - Accent 3"/>
    <w:basedOn w:val="NormalTable"/>
    <w:uiPriority w:val="99"/>
    <w:pPr>
      <w:spacing w:after="0" w:line="240" w:lineRule="auto"/>
    </w:pPr>
    <w:tblPr>
      <w:tblStyleRowBandSize w:val="1"/>
      <w:tblStyleColBandSize w:val="1"/>
    </w:tblPr>
    <w:tblStylePr w:type="firstRow">
      <w:rPr>
        <w:b/>
        <w:color w:val="404040"/>
      </w:rPr>
      <w:tblPr/>
      <w:tcPr>
        <w:tcBorders>
          <w:top w:val="none" w:sz="4" w:space="0"/>
          <w:left w:val="none" w:sz="4" w:space="0"/>
          <w:bottom w:val="single" w:color="196b24" w:themeColor="accent3" w:sz="4" w:space="0"/>
          <w:right w:val="none" w:sz="4" w:space="0"/>
        </w:tcBorders>
      </w:tcPr>
    </w:tblStylePr>
    <w:tblStylePr w:type="lastRow">
      <w:rPr>
        <w:b/>
        <w:color w:val="404040"/>
      </w:rPr>
      <w:tblPr/>
      <w:tcPr>
        <w:tcBorders>
          <w:top w:val="single" w:color="196b24" w:themeColor="accent3" w:sz="4" w:space="0"/>
          <w:left w:val="none" w:sz="4" w:space="0"/>
          <w:bottom w:val="none" w:sz="4" w:space="0"/>
          <w:right w:val="none" w:sz="4" w:space="0"/>
        </w:tcBorders>
      </w:tcPr>
    </w:tblStylePr>
    <w:tblStylePr w:type="firstCol">
      <w:rPr>
        <w:b/>
        <w:color w:val="404040"/>
      </w:rPr>
    </w:tblStylePr>
    <w:tblStylePr w:type="lastCol">
      <w:rPr>
        <w:b/>
        <w:color w:val="404040"/>
      </w:rPr>
    </w:tblStylePr>
    <w:tblStylePr w:type="band1Vert">
      <w:tblPr/>
      <w:tcPr>
        <w:shd w:val="clear" w:color="b1edba" w:themeColor="accent3" w:themeTint="40" w:fill="b1edba" w:themeFill="accent3" w:themeFillTint="40"/>
      </w:tcPr>
    </w:tblStylePr>
    <w:tblStylePr w:type="band1Horz">
      <w:tblPr/>
      <w:tcPr>
        <w:shd w:val="clear" w:color="b1edba" w:themeColor="accent3" w:themeTint="40" w:fill="b1edba" w:themeFill="accent3" w:themeFillTint="40"/>
      </w:tcPr>
    </w:tblStylePr>
  </w:style>
  <w:style w:type="table" w:customStyle="1" w:styleId="ListTable1Light-Accent4">
    <w:name w:val="List Table 1 Light - Accent 4"/>
    <w:basedOn w:val="NormalTable"/>
    <w:uiPriority w:val="99"/>
    <w:pPr>
      <w:spacing w:after="0" w:line="240" w:lineRule="auto"/>
    </w:pPr>
    <w:tblPr>
      <w:tblStyleRowBandSize w:val="1"/>
      <w:tblStyleColBandSize w:val="1"/>
    </w:tblPr>
    <w:tblStylePr w:type="firstRow">
      <w:rPr>
        <w:b/>
        <w:color w:val="404040"/>
      </w:rPr>
      <w:tblPr/>
      <w:tcPr>
        <w:tcBorders>
          <w:top w:val="none" w:sz="4" w:space="0"/>
          <w:left w:val="none" w:sz="4" w:space="0"/>
          <w:bottom w:val="single" w:color="0f9ed5" w:themeColor="accent4" w:sz="4" w:space="0"/>
          <w:right w:val="none" w:sz="4" w:space="0"/>
        </w:tcBorders>
      </w:tcPr>
    </w:tblStylePr>
    <w:tblStylePr w:type="lastRow">
      <w:rPr>
        <w:b/>
        <w:color w:val="404040"/>
      </w:rPr>
      <w:tblPr/>
      <w:tcPr>
        <w:tcBorders>
          <w:top w:val="single" w:color="0f9ed5" w:themeColor="accent4" w:sz="4" w:space="0"/>
          <w:left w:val="none" w:sz="4" w:space="0"/>
          <w:bottom w:val="none" w:sz="4" w:space="0"/>
          <w:right w:val="none" w:sz="4" w:space="0"/>
        </w:tcBorders>
      </w:tcPr>
    </w:tblStylePr>
    <w:tblStylePr w:type="firstCol">
      <w:rPr>
        <w:b/>
        <w:color w:val="404040"/>
      </w:rPr>
    </w:tblStylePr>
    <w:tblStylePr w:type="lastCol">
      <w:rPr>
        <w:b/>
        <w:color w:val="404040"/>
      </w:rPr>
    </w:tblStylePr>
    <w:tblStylePr w:type="band1Vert">
      <w:tblPr/>
      <w:tcPr>
        <w:shd w:val="clear" w:color="bce8fa" w:themeColor="accent4" w:themeTint="40" w:fill="bce8fa" w:themeFill="accent4" w:themeFillTint="40"/>
      </w:tcPr>
    </w:tblStylePr>
    <w:tblStylePr w:type="band1Horz">
      <w:tblPr/>
      <w:tcPr>
        <w:shd w:val="clear" w:color="bce8fa" w:themeColor="accent4" w:themeTint="40" w:fill="bce8fa" w:themeFill="accent4" w:themeFillTint="40"/>
      </w:tcPr>
    </w:tblStylePr>
  </w:style>
  <w:style w:type="table" w:customStyle="1" w:styleId="ListTable1Light-Accent5">
    <w:name w:val="List Table 1 Light - Accent 5"/>
    <w:basedOn w:val="NormalTable"/>
    <w:uiPriority w:val="99"/>
    <w:pPr>
      <w:spacing w:after="0" w:line="240" w:lineRule="auto"/>
    </w:pPr>
    <w:tblPr>
      <w:tblStyleRowBandSize w:val="1"/>
      <w:tblStyleColBandSize w:val="1"/>
    </w:tblPr>
    <w:tblStylePr w:type="firstRow">
      <w:rPr>
        <w:b/>
        <w:color w:val="404040"/>
      </w:rPr>
      <w:tblPr/>
      <w:tcPr>
        <w:tcBorders>
          <w:top w:val="none" w:sz="4" w:space="0"/>
          <w:left w:val="none" w:sz="4" w:space="0"/>
          <w:bottom w:val="single" w:color="a02b93" w:themeColor="accent5" w:sz="4" w:space="0"/>
          <w:right w:val="none" w:sz="4" w:space="0"/>
        </w:tcBorders>
      </w:tcPr>
    </w:tblStylePr>
    <w:tblStylePr w:type="lastRow">
      <w:rPr>
        <w:b/>
        <w:color w:val="404040"/>
      </w:rPr>
      <w:tblPr/>
      <w:tcPr>
        <w:tcBorders>
          <w:top w:val="single" w:color="a02b93" w:themeColor="accent5" w:sz="4" w:space="0"/>
          <w:left w:val="none" w:sz="4" w:space="0"/>
          <w:bottom w:val="none" w:sz="4" w:space="0"/>
          <w:right w:val="none" w:sz="4" w:space="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NormalTable"/>
    <w:uiPriority w:val="99"/>
    <w:pPr>
      <w:spacing w:after="0" w:line="240" w:lineRule="auto"/>
    </w:pPr>
    <w:tblPr>
      <w:tblStyleRowBandSize w:val="1"/>
      <w:tblStyleColBandSize w:val="1"/>
    </w:tblPr>
    <w:tblStylePr w:type="firstRow">
      <w:rPr>
        <w:b/>
        <w:color w:val="404040"/>
      </w:rPr>
      <w:tblPr/>
      <w:tcPr>
        <w:tcBorders>
          <w:top w:val="none" w:sz="4" w:space="0"/>
          <w:left w:val="none" w:sz="4" w:space="0"/>
          <w:bottom w:val="single" w:color="4ea72e" w:themeColor="accent6" w:sz="4" w:space="0"/>
          <w:right w:val="none" w:sz="4" w:space="0"/>
        </w:tcBorders>
      </w:tcPr>
    </w:tblStylePr>
    <w:tblStylePr w:type="lastRow">
      <w:rPr>
        <w:b/>
        <w:color w:val="404040"/>
      </w:rPr>
      <w:tblPr/>
      <w:tcPr>
        <w:tcBorders>
          <w:top w:val="single" w:color="4ea72e" w:themeColor="accent6" w:sz="4" w:space="0"/>
          <w:left w:val="none" w:sz="4" w:space="0"/>
          <w:bottom w:val="none" w:sz="4" w:space="0"/>
          <w:right w:val="none" w:sz="4" w:space="0"/>
        </w:tcBorders>
      </w:tcPr>
    </w:tblStylePr>
    <w:tblStylePr w:type="firstCol">
      <w:rPr>
        <w:b/>
        <w:color w:val="404040"/>
      </w:rPr>
    </w:tblStylePr>
    <w:tblStylePr w:type="lastCol">
      <w:rPr>
        <w:b/>
        <w:color w:val="404040"/>
      </w:rPr>
    </w:tblStylePr>
    <w:tblStylePr w:type="band1Vert">
      <w:tblPr/>
      <w:tcPr>
        <w:shd w:val="clear" w:color="cfefc3" w:themeColor="accent6" w:themeTint="40" w:fill="cfefc3" w:themeFill="accent6" w:themeFillTint="40"/>
      </w:tcPr>
    </w:tblStylePr>
    <w:tblStylePr w:type="band1Horz">
      <w:tblPr/>
      <w:tcPr>
        <w:shd w:val="clear" w:color="cfefc3" w:themeColor="accent6" w:themeTint="40" w:fill="cfefc3" w:themeFill="accent6" w:themeFillTint="40"/>
      </w:tcPr>
    </w:tblStylePr>
  </w:style>
  <w:style w:type="table" w:styleId="ListTable2">
    <w:name w:val="List Table 2"/>
    <w:basedOn w:val="NormalTable"/>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rFonts w:ascii="Arial" w:hAnsi="Arial"/>
        <w:b/>
        <w:color w:val="404040"/>
        <w:sz w:val="22"/>
      </w:rPr>
      <w:tblPr/>
      <w:tcPr>
        <w:tcBorders>
          <w:top w:val="single" w:color="6f6f6f" w:themeColor="text1" w:themeTint="90" w:sz="4" w:space="0"/>
          <w:left w:val="none" w:sz="4" w:space="0"/>
          <w:bottom w:val="single" w:color="6f6f6f" w:themeColor="text1" w:themeTint="90" w:sz="4" w:space="0"/>
          <w:right w:val="none" w:sz="4" w:space="0"/>
        </w:tcBorders>
      </w:tcPr>
    </w:tblStylePr>
    <w:tblStylePr w:type="lastRow">
      <w:rPr>
        <w:rFonts w:ascii="Arial" w:hAnsi="Arial"/>
        <w:b/>
        <w:color w:val="404040"/>
        <w:sz w:val="22"/>
      </w:rPr>
      <w:tblPr/>
      <w:tcPr>
        <w:tcBorders>
          <w:top w:val="single" w:color="6f6f6f" w:themeColor="text1" w:themeTint="90" w:sz="4" w:space="0"/>
          <w:left w:val="none" w:sz="4" w:space="0"/>
          <w:bottom w:val="single" w:color="6f6f6f" w:themeColor="text1" w:themeTint="90" w:sz="4" w:space="0"/>
          <w:right w:val="none"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Table"/>
    <w:uiPriority w:val="99"/>
    <w:pPr>
      <w:spacing w:after="0" w:line="240" w:lineRule="auto"/>
    </w:pPr>
    <w:tblPr>
      <w:tblStyleRowBandSize w:val="1"/>
      <w:tblStyleColBandSize w:val="1"/>
      <w:tblBorders>
        <w:top w:val="single" w:color="4fb5e3" w:themeColor="accent1" w:themeTint="90" w:sz="4" w:space="0"/>
        <w:bottom w:val="single" w:color="4fb5e3" w:themeColor="accent1" w:themeTint="90" w:sz="4" w:space="0"/>
        <w:insideH w:val="single" w:color="4fb5e3" w:themeColor="accent1" w:themeTint="90" w:sz="4" w:space="0"/>
      </w:tblBorders>
    </w:tblPr>
    <w:tblStylePr w:type="firstRow">
      <w:rPr>
        <w:rFonts w:ascii="Arial" w:hAnsi="Arial"/>
        <w:b/>
        <w:color w:val="404040"/>
        <w:sz w:val="22"/>
      </w:rPr>
      <w:tblPr/>
      <w:tcPr>
        <w:tcBorders>
          <w:top w:val="single" w:color="4fb5e3" w:themeColor="accent1" w:themeTint="90" w:sz="4" w:space="0"/>
          <w:left w:val="none" w:sz="4" w:space="0"/>
          <w:bottom w:val="single" w:color="4fb5e3" w:themeColor="accent1" w:themeTint="90" w:sz="4" w:space="0"/>
          <w:right w:val="none" w:sz="4" w:space="0"/>
        </w:tcBorders>
      </w:tcPr>
    </w:tblStylePr>
    <w:tblStylePr w:type="lastRow">
      <w:rPr>
        <w:rFonts w:ascii="Arial" w:hAnsi="Arial"/>
        <w:b/>
        <w:color w:val="404040"/>
        <w:sz w:val="22"/>
      </w:rPr>
      <w:tblPr/>
      <w:tcPr>
        <w:tcBorders>
          <w:top w:val="single" w:color="4fb5e3" w:themeColor="accent1" w:themeTint="90" w:sz="4" w:space="0"/>
          <w:left w:val="none" w:sz="4" w:space="0"/>
          <w:bottom w:val="single" w:color="4fb5e3" w:themeColor="accent1" w:themeTint="90" w:sz="4" w:space="0"/>
          <w:right w:val="none"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0def2" w:themeColor="accent1" w:themeTint="40" w:fill="b0def2" w:themeFill="accent1" w:themeFillTint="40"/>
      </w:tcPr>
    </w:tblStylePr>
    <w:tblStylePr w:type="band1Horz">
      <w:rPr>
        <w:rFonts w:ascii="Arial" w:hAnsi="Arial"/>
        <w:color w:val="404040"/>
        <w:sz w:val="22"/>
      </w:rPr>
      <w:tblPr/>
      <w:tcPr>
        <w:shd w:val="clear" w:color="b0def2" w:themeColor="accent1" w:themeTint="40" w:fill="b0def2" w:themeFill="accent1" w:themeFillTint="40"/>
      </w:tcPr>
    </w:tblStylePr>
  </w:style>
  <w:style w:type="table" w:customStyle="1" w:styleId="ListTable2-Accent2">
    <w:name w:val="List Table 2 - Accent 2"/>
    <w:basedOn w:val="NormalTable"/>
    <w:uiPriority w:val="99"/>
    <w:pPr>
      <w:spacing w:after="0" w:line="240" w:lineRule="auto"/>
    </w:pPr>
    <w:tblPr>
      <w:tblStyleRowBandSize w:val="1"/>
      <w:tblStyleColBandSize w:val="1"/>
      <w:tblBorders>
        <w:top w:val="single" w:color="f3ac89" w:themeColor="accent2" w:themeTint="90" w:sz="4" w:space="0"/>
        <w:bottom w:val="single" w:color="f3ac89" w:themeColor="accent2" w:themeTint="90" w:sz="4" w:space="0"/>
        <w:insideH w:val="single" w:color="f3ac89" w:themeColor="accent2" w:themeTint="90" w:sz="4" w:space="0"/>
      </w:tblBorders>
    </w:tblPr>
    <w:tblStylePr w:type="firstRow">
      <w:rPr>
        <w:rFonts w:ascii="Arial" w:hAnsi="Arial"/>
        <w:b/>
        <w:color w:val="404040"/>
        <w:sz w:val="22"/>
      </w:rPr>
      <w:tblPr/>
      <w:tcPr>
        <w:tcBorders>
          <w:top w:val="single" w:color="f3ac89" w:themeColor="accent2" w:themeTint="90" w:sz="4" w:space="0"/>
          <w:left w:val="none" w:sz="4" w:space="0"/>
          <w:bottom w:val="single" w:color="f3ac89" w:themeColor="accent2" w:themeTint="90" w:sz="4" w:space="0"/>
          <w:right w:val="none" w:sz="4" w:space="0"/>
        </w:tcBorders>
      </w:tcPr>
    </w:tblStylePr>
    <w:tblStylePr w:type="lastRow">
      <w:rPr>
        <w:rFonts w:ascii="Arial" w:hAnsi="Arial"/>
        <w:b/>
        <w:color w:val="404040"/>
        <w:sz w:val="22"/>
      </w:rPr>
      <w:tblPr/>
      <w:tcPr>
        <w:tcBorders>
          <w:top w:val="single" w:color="f3ac89" w:themeColor="accent2" w:themeTint="90" w:sz="4" w:space="0"/>
          <w:left w:val="none" w:sz="4" w:space="0"/>
          <w:bottom w:val="single" w:color="f3ac89" w:themeColor="accent2" w:themeTint="90" w:sz="4" w:space="0"/>
          <w:right w:val="none"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acb" w:themeColor="accent2" w:themeTint="40" w:fill="f9dacb" w:themeFill="accent2" w:themeFillTint="40"/>
      </w:tcPr>
    </w:tblStylePr>
    <w:tblStylePr w:type="band1Horz">
      <w:rPr>
        <w:rFonts w:ascii="Arial" w:hAnsi="Arial"/>
        <w:color w:val="404040"/>
        <w:sz w:val="22"/>
      </w:rPr>
      <w:tblPr/>
      <w:tcPr>
        <w:shd w:val="clear" w:color="f9dacb" w:themeColor="accent2" w:themeTint="40" w:fill="f9dacb" w:themeFill="accent2" w:themeFillTint="40"/>
      </w:tcPr>
    </w:tblStylePr>
  </w:style>
  <w:style w:type="table" w:customStyle="1" w:styleId="ListTable2-Accent3">
    <w:name w:val="List Table 2 - Accent 3"/>
    <w:basedOn w:val="NormalTable"/>
    <w:uiPriority w:val="99"/>
    <w:pPr>
      <w:spacing w:after="0" w:line="240" w:lineRule="auto"/>
    </w:pPr>
    <w:tblPr>
      <w:tblStyleRowBandSize w:val="1"/>
      <w:tblStyleColBandSize w:val="1"/>
      <w:tblBorders>
        <w:top w:val="single" w:color="52d665" w:themeColor="accent3" w:themeTint="90" w:sz="4" w:space="0"/>
        <w:bottom w:val="single" w:color="52d665" w:themeColor="accent3" w:themeTint="90" w:sz="4" w:space="0"/>
        <w:insideH w:val="single" w:color="52d665" w:themeColor="accent3" w:themeTint="90" w:sz="4" w:space="0"/>
      </w:tblBorders>
    </w:tblPr>
    <w:tblStylePr w:type="firstRow">
      <w:rPr>
        <w:rFonts w:ascii="Arial" w:hAnsi="Arial"/>
        <w:b/>
        <w:color w:val="404040"/>
        <w:sz w:val="22"/>
      </w:rPr>
      <w:tblPr/>
      <w:tcPr>
        <w:tcBorders>
          <w:top w:val="single" w:color="52d665" w:themeColor="accent3" w:themeTint="90" w:sz="4" w:space="0"/>
          <w:left w:val="none" w:sz="4" w:space="0"/>
          <w:bottom w:val="single" w:color="52d665" w:themeColor="accent3" w:themeTint="90" w:sz="4" w:space="0"/>
          <w:right w:val="none" w:sz="4" w:space="0"/>
        </w:tcBorders>
      </w:tcPr>
    </w:tblStylePr>
    <w:tblStylePr w:type="lastRow">
      <w:rPr>
        <w:rFonts w:ascii="Arial" w:hAnsi="Arial"/>
        <w:b/>
        <w:color w:val="404040"/>
        <w:sz w:val="22"/>
      </w:rPr>
      <w:tblPr/>
      <w:tcPr>
        <w:tcBorders>
          <w:top w:val="single" w:color="52d665" w:themeColor="accent3" w:themeTint="90" w:sz="4" w:space="0"/>
          <w:left w:val="none" w:sz="4" w:space="0"/>
          <w:bottom w:val="single" w:color="52d665" w:themeColor="accent3" w:themeTint="90" w:sz="4" w:space="0"/>
          <w:right w:val="none"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edba" w:themeColor="accent3" w:themeTint="40" w:fill="b1edba" w:themeFill="accent3" w:themeFillTint="40"/>
      </w:tcPr>
    </w:tblStylePr>
    <w:tblStylePr w:type="band1Horz">
      <w:rPr>
        <w:rFonts w:ascii="Arial" w:hAnsi="Arial"/>
        <w:color w:val="404040"/>
        <w:sz w:val="22"/>
      </w:rPr>
      <w:tblPr/>
      <w:tcPr>
        <w:shd w:val="clear" w:color="b1edba" w:themeColor="accent3" w:themeTint="40" w:fill="b1edba" w:themeFill="accent3" w:themeFillTint="40"/>
      </w:tcPr>
    </w:tblStylePr>
  </w:style>
  <w:style w:type="table" w:customStyle="1" w:styleId="ListTable2-Accent4">
    <w:name w:val="List Table 2 - Accent 4"/>
    <w:basedOn w:val="NormalTable"/>
    <w:uiPriority w:val="99"/>
    <w:pPr>
      <w:spacing w:after="0" w:line="240" w:lineRule="auto"/>
    </w:pPr>
    <w:tblPr>
      <w:tblStyleRowBandSize w:val="1"/>
      <w:tblStyleColBandSize w:val="1"/>
      <w:tblBorders>
        <w:top w:val="single" w:color="6acdf4" w:themeColor="accent4" w:themeTint="90" w:sz="4" w:space="0"/>
        <w:bottom w:val="single" w:color="6acdf4" w:themeColor="accent4" w:themeTint="90" w:sz="4" w:space="0"/>
        <w:insideH w:val="single" w:color="6acdf4" w:themeColor="accent4" w:themeTint="90" w:sz="4" w:space="0"/>
      </w:tblBorders>
    </w:tblPr>
    <w:tblStylePr w:type="firstRow">
      <w:rPr>
        <w:rFonts w:ascii="Arial" w:hAnsi="Arial"/>
        <w:b/>
        <w:color w:val="404040"/>
        <w:sz w:val="22"/>
      </w:rPr>
      <w:tblPr/>
      <w:tcPr>
        <w:tcBorders>
          <w:top w:val="single" w:color="6acdf4" w:themeColor="accent4" w:themeTint="90" w:sz="4" w:space="0"/>
          <w:left w:val="none" w:sz="4" w:space="0"/>
          <w:bottom w:val="single" w:color="6acdf4" w:themeColor="accent4" w:themeTint="90" w:sz="4" w:space="0"/>
          <w:right w:val="none" w:sz="4" w:space="0"/>
        </w:tcBorders>
      </w:tcPr>
    </w:tblStylePr>
    <w:tblStylePr w:type="lastRow">
      <w:rPr>
        <w:rFonts w:ascii="Arial" w:hAnsi="Arial"/>
        <w:b/>
        <w:color w:val="404040"/>
        <w:sz w:val="22"/>
      </w:rPr>
      <w:tblPr/>
      <w:tcPr>
        <w:tcBorders>
          <w:top w:val="single" w:color="6acdf4" w:themeColor="accent4" w:themeTint="90" w:sz="4" w:space="0"/>
          <w:left w:val="none" w:sz="4" w:space="0"/>
          <w:bottom w:val="single" w:color="6acdf4" w:themeColor="accent4" w:themeTint="90" w:sz="4" w:space="0"/>
          <w:right w:val="none"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8fa" w:themeColor="accent4" w:themeTint="40" w:fill="bce8fa" w:themeFill="accent4" w:themeFillTint="40"/>
      </w:tcPr>
    </w:tblStylePr>
    <w:tblStylePr w:type="band1Horz">
      <w:rPr>
        <w:rFonts w:ascii="Arial" w:hAnsi="Arial"/>
        <w:color w:val="404040"/>
        <w:sz w:val="22"/>
      </w:rPr>
      <w:tblPr/>
      <w:tcPr>
        <w:shd w:val="clear" w:color="bce8fa" w:themeColor="accent4" w:themeTint="40" w:fill="bce8fa" w:themeFill="accent4" w:themeFillTint="40"/>
      </w:tcPr>
    </w:tblStylePr>
  </w:style>
  <w:style w:type="table" w:customStyle="1" w:styleId="ListTable2-Accent5">
    <w:name w:val="List Table 2 - Accent 5"/>
    <w:basedOn w:val="NormalTable"/>
    <w:uiPriority w:val="99"/>
    <w:pPr>
      <w:spacing w:after="0" w:line="240" w:lineRule="auto"/>
    </w:pPr>
    <w:tblPr>
      <w:tblStyleRowBandSize w:val="1"/>
      <w:tblStyleColBandSize w:val="1"/>
      <w:tblBorders>
        <w:top w:val="single" w:color="da76ce" w:themeColor="accent5" w:themeTint="90" w:sz="4" w:space="0"/>
        <w:bottom w:val="single" w:color="da76ce" w:themeColor="accent5" w:themeTint="90" w:sz="4" w:space="0"/>
        <w:insideH w:val="single" w:color="da76ce" w:themeColor="accent5" w:themeTint="90" w:sz="4" w:space="0"/>
      </w:tblBorders>
    </w:tblPr>
    <w:tblStylePr w:type="firstRow">
      <w:rPr>
        <w:rFonts w:ascii="Arial" w:hAnsi="Arial"/>
        <w:b/>
        <w:color w:val="404040"/>
        <w:sz w:val="22"/>
      </w:rPr>
      <w:tblPr/>
      <w:tcPr>
        <w:tcBorders>
          <w:top w:val="single" w:color="da76ce" w:themeColor="accent5" w:themeTint="90" w:sz="4" w:space="0"/>
          <w:left w:val="none" w:sz="4" w:space="0"/>
          <w:bottom w:val="single" w:color="da76ce" w:themeColor="accent5" w:themeTint="90" w:sz="4" w:space="0"/>
          <w:right w:val="none" w:sz="4" w:space="0"/>
        </w:tcBorders>
      </w:tcPr>
    </w:tblStylePr>
    <w:tblStylePr w:type="lastRow">
      <w:rPr>
        <w:rFonts w:ascii="Arial" w:hAnsi="Arial"/>
        <w:b/>
        <w:color w:val="404040"/>
        <w:sz w:val="22"/>
      </w:rPr>
      <w:tblPr/>
      <w:tcPr>
        <w:tcBorders>
          <w:top w:val="single" w:color="da76ce" w:themeColor="accent5" w:themeTint="90" w:sz="4" w:space="0"/>
          <w:left w:val="none" w:sz="4" w:space="0"/>
          <w:bottom w:val="single" w:color="da76ce" w:themeColor="accent5" w:themeTint="90" w:sz="4" w:space="0"/>
          <w:right w:val="none"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NormalTable"/>
    <w:uiPriority w:val="99"/>
    <w:pPr>
      <w:spacing w:after="0" w:line="240" w:lineRule="auto"/>
    </w:pPr>
    <w:tblPr>
      <w:tblStyleRowBandSize w:val="1"/>
      <w:tblStyleColBandSize w:val="1"/>
      <w:tblBorders>
        <w:top w:val="single" w:color="93da7a" w:themeColor="accent6" w:themeTint="90" w:sz="4" w:space="0"/>
        <w:bottom w:val="single" w:color="93da7a" w:themeColor="accent6" w:themeTint="90" w:sz="4" w:space="0"/>
        <w:insideH w:val="single" w:color="93da7a" w:themeColor="accent6" w:themeTint="90" w:sz="4" w:space="0"/>
      </w:tblBorders>
    </w:tblPr>
    <w:tblStylePr w:type="firstRow">
      <w:rPr>
        <w:rFonts w:ascii="Arial" w:hAnsi="Arial"/>
        <w:b/>
        <w:color w:val="404040"/>
        <w:sz w:val="22"/>
      </w:rPr>
      <w:tblPr/>
      <w:tcPr>
        <w:tcBorders>
          <w:top w:val="single" w:color="93da7a" w:themeColor="accent6" w:themeTint="90" w:sz="4" w:space="0"/>
          <w:left w:val="none" w:sz="4" w:space="0"/>
          <w:bottom w:val="single" w:color="93da7a" w:themeColor="accent6" w:themeTint="90" w:sz="4" w:space="0"/>
          <w:right w:val="none" w:sz="4" w:space="0"/>
        </w:tcBorders>
      </w:tcPr>
    </w:tblStylePr>
    <w:tblStylePr w:type="lastRow">
      <w:rPr>
        <w:rFonts w:ascii="Arial" w:hAnsi="Arial"/>
        <w:b/>
        <w:color w:val="404040"/>
        <w:sz w:val="22"/>
      </w:rPr>
      <w:tblPr/>
      <w:tcPr>
        <w:tcBorders>
          <w:top w:val="single" w:color="93da7a" w:themeColor="accent6" w:themeTint="90" w:sz="4" w:space="0"/>
          <w:left w:val="none" w:sz="4" w:space="0"/>
          <w:bottom w:val="single" w:color="93da7a" w:themeColor="accent6" w:themeTint="90" w:sz="4" w:space="0"/>
          <w:right w:val="none"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3" w:themeColor="accent6" w:themeTint="40" w:fill="cfefc3" w:themeFill="accent6" w:themeFillTint="40"/>
      </w:tcPr>
    </w:tblStylePr>
    <w:tblStylePr w:type="band1Horz">
      <w:rPr>
        <w:rFonts w:ascii="Arial" w:hAnsi="Arial"/>
        <w:color w:val="404040"/>
        <w:sz w:val="22"/>
      </w:rPr>
      <w:tblPr/>
      <w:tcPr>
        <w:shd w:val="clear" w:color="cfefc3" w:themeColor="accent6" w:themeTint="40" w:fill="cfefc3" w:themeFill="accent6" w:themeFillTint="40"/>
      </w:tcPr>
    </w:tblStylePr>
  </w:style>
  <w:style w:type="table" w:styleId="ListTable3">
    <w:name w:val="List Table 3"/>
    <w:basedOn w:val="NormalTable"/>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000000" w:themeColor="text1" w:sz="4" w:space="0"/>
          <w:right w:val="single" w:color="000000" w:themeColor="text1" w:sz="4" w:space="0"/>
        </w:tcBorders>
      </w:tcPr>
    </w:tblStylePr>
    <w:tblStylePr w:type="band1Horz">
      <w:rPr>
        <w:rFonts w:ascii="Arial" w:hAnsi="Arial"/>
        <w:color w:val="404040"/>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NormalTable"/>
    <w:uiPriority w:val="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156082" w:themeColor="accent1" w:sz="4" w:space="0"/>
          <w:right w:val="single" w:color="156082" w:themeColor="accent1" w:sz="4" w:space="0"/>
        </w:tcBorders>
      </w:tcPr>
    </w:tblStylePr>
    <w:tblStylePr w:type="band1Horz">
      <w:rPr>
        <w:rFonts w:ascii="Arial" w:hAnsi="Arial"/>
        <w:color w:val="404040"/>
        <w:sz w:val="22"/>
      </w:rPr>
      <w:tblPr/>
      <w:tcPr>
        <w:tcBorders>
          <w:top w:val="single" w:color="156082" w:themeColor="accent1" w:sz="4" w:space="0"/>
          <w:bottom w:val="single" w:color="156082" w:themeColor="accent1" w:sz="4" w:space="0"/>
        </w:tcBorders>
      </w:tcPr>
    </w:tblStylePr>
  </w:style>
  <w:style w:type="table" w:customStyle="1" w:styleId="ListTable3-Accent2">
    <w:name w:val="List Table 3 - Accent 2"/>
    <w:basedOn w:val="NormalTable"/>
    <w:uiPriority w:val="99"/>
    <w:pPr>
      <w:spacing w:after="0" w:line="240" w:lineRule="auto"/>
    </w:pPr>
    <w:tblPr>
      <w:tblStyleRowBandSize w:val="1"/>
      <w:tblStyleColBandSize w:val="1"/>
      <w:tblBorders>
        <w:top w:val="single" w:color="f2a984" w:themeColor="accent2" w:themeTint="97" w:sz="4" w:space="0"/>
        <w:left w:val="single" w:color="f2a984" w:themeColor="accent2" w:themeTint="97" w:sz="4" w:space="0"/>
        <w:bottom w:val="single" w:color="f2a984" w:themeColor="accent2" w:themeTint="97" w:sz="4" w:space="0"/>
        <w:right w:val="single" w:color="f2a984" w:themeColor="accent2" w:themeTint="97" w:sz="4" w:space="0"/>
      </w:tblBorders>
    </w:tblPr>
    <w:tblStylePr w:type="firstRow">
      <w:rPr>
        <w:rFonts w:ascii="Arial" w:hAnsi="Arial"/>
        <w:b/>
        <w:color w:val="ffffff"/>
        <w:sz w:val="22"/>
      </w:rPr>
      <w:tblPr/>
      <w:tcPr>
        <w:shd w:val="clear" w:color="f2a984" w:themeColor="accent2" w:themeTint="97" w:fill="f2a9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f2a984" w:themeColor="accent2" w:themeTint="97" w:sz="4" w:space="0"/>
          <w:right w:val="single" w:color="f2a984" w:themeColor="accent2" w:themeTint="97" w:sz="4" w:space="0"/>
        </w:tcBorders>
      </w:tcPr>
    </w:tblStylePr>
    <w:tblStylePr w:type="band1Horz">
      <w:rPr>
        <w:rFonts w:ascii="Arial" w:hAnsi="Arial"/>
        <w:color w:val="404040"/>
        <w:sz w:val="22"/>
      </w:rPr>
      <w:tblPr/>
      <w:tcPr>
        <w:tcBorders>
          <w:top w:val="single" w:color="f2a984" w:themeColor="accent2" w:themeTint="97" w:sz="4" w:space="0"/>
          <w:bottom w:val="single" w:color="f2a984" w:themeColor="accent2" w:themeTint="97" w:sz="4" w:space="0"/>
        </w:tcBorders>
      </w:tcPr>
    </w:tblStylePr>
  </w:style>
  <w:style w:type="table" w:customStyle="1" w:styleId="ListTable3-Accent3">
    <w:name w:val="List Table 3 - Accent 3"/>
    <w:basedOn w:val="NormalTable"/>
    <w:uiPriority w:val="99"/>
    <w:pPr>
      <w:spacing w:after="0" w:line="240" w:lineRule="auto"/>
    </w:pPr>
    <w:tblPr>
      <w:tblStyleRowBandSize w:val="1"/>
      <w:tblStyleColBandSize w:val="1"/>
      <w:tblBorders>
        <w:top w:val="single" w:color="48d45c" w:themeColor="accent3" w:themeTint="98" w:sz="4" w:space="0"/>
        <w:left w:val="single" w:color="48d45c" w:themeColor="accent3" w:themeTint="98" w:sz="4" w:space="0"/>
        <w:bottom w:val="single" w:color="48d45c" w:themeColor="accent3" w:themeTint="98" w:sz="4" w:space="0"/>
        <w:right w:val="single" w:color="48d45c" w:themeColor="accent3" w:themeTint="98" w:sz="4" w:space="0"/>
      </w:tblBorders>
    </w:tblPr>
    <w:tblStylePr w:type="firstRow">
      <w:rPr>
        <w:rFonts w:ascii="Arial" w:hAnsi="Arial"/>
        <w:b/>
        <w:color w:val="ffffff"/>
        <w:sz w:val="22"/>
      </w:rPr>
      <w:tblPr/>
      <w:tcPr>
        <w:shd w:val="clear" w:color="48d45c" w:themeColor="accent3" w:themeTint="98" w:fill="48d45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48d45c" w:themeColor="accent3" w:themeTint="98" w:sz="4" w:space="0"/>
          <w:right w:val="single" w:color="48d45c" w:themeColor="accent3" w:themeTint="98" w:sz="4" w:space="0"/>
        </w:tcBorders>
      </w:tcPr>
    </w:tblStylePr>
    <w:tblStylePr w:type="band1Horz">
      <w:rPr>
        <w:rFonts w:ascii="Arial" w:hAnsi="Arial"/>
        <w:color w:val="404040"/>
        <w:sz w:val="22"/>
      </w:rPr>
      <w:tblPr/>
      <w:tcPr>
        <w:tcBorders>
          <w:top w:val="single" w:color="48d45c" w:themeColor="accent3" w:themeTint="98" w:sz="4" w:space="0"/>
          <w:bottom w:val="single" w:color="48d45c" w:themeColor="accent3" w:themeTint="98" w:sz="4" w:space="0"/>
        </w:tcBorders>
      </w:tcPr>
    </w:tblStylePr>
  </w:style>
  <w:style w:type="table" w:customStyle="1" w:styleId="ListTable3-Accent4">
    <w:name w:val="List Table 3 - Accent 4"/>
    <w:basedOn w:val="NormalTable"/>
    <w:uiPriority w:val="99"/>
    <w:pPr>
      <w:spacing w:after="0" w:line="240" w:lineRule="auto"/>
    </w:pPr>
    <w:tblPr>
      <w:tblStyleRowBandSize w:val="1"/>
      <w:tblStyleColBandSize w:val="1"/>
      <w:tblBorders>
        <w:top w:val="single" w:color="5ec9f4" w:themeColor="accent4" w:themeTint="9a" w:sz="4" w:space="0"/>
        <w:left w:val="single" w:color="5ec9f4" w:themeColor="accent4" w:themeTint="9a" w:sz="4" w:space="0"/>
        <w:bottom w:val="single" w:color="5ec9f4" w:themeColor="accent4" w:themeTint="9a" w:sz="4" w:space="0"/>
        <w:right w:val="single" w:color="5ec9f4" w:themeColor="accent4" w:themeTint="9a" w:sz="4" w:space="0"/>
      </w:tblBorders>
    </w:tblPr>
    <w:tblStylePr w:type="firstRow">
      <w:rPr>
        <w:rFonts w:ascii="Arial" w:hAnsi="Arial"/>
        <w:b/>
        <w:color w:val="ffffff"/>
        <w:sz w:val="22"/>
      </w:rPr>
      <w:tblPr/>
      <w:tcPr>
        <w:shd w:val="clear" w:color="5ec9f4" w:themeColor="accent4" w:themeTint="9a" w:fill="5ec9f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5ec9f4" w:themeColor="accent4" w:themeTint="9a" w:sz="4" w:space="0"/>
          <w:right w:val="single" w:color="5ec9f4" w:themeColor="accent4" w:themeTint="9a" w:sz="4" w:space="0"/>
        </w:tcBorders>
      </w:tcPr>
    </w:tblStylePr>
    <w:tblStylePr w:type="band1Horz">
      <w:rPr>
        <w:rFonts w:ascii="Arial" w:hAnsi="Arial"/>
        <w:color w:val="404040"/>
        <w:sz w:val="22"/>
      </w:rPr>
      <w:tblPr/>
      <w:tcPr>
        <w:tcBorders>
          <w:top w:val="single" w:color="5ec9f4" w:themeColor="accent4" w:themeTint="9a" w:sz="4" w:space="0"/>
          <w:bottom w:val="single" w:color="5ec9f4" w:themeColor="accent4" w:themeTint="9a" w:sz="4" w:space="0"/>
        </w:tcBorders>
      </w:tcPr>
    </w:tblStylePr>
  </w:style>
  <w:style w:type="table" w:customStyle="1" w:styleId="ListTable3-Accent5">
    <w:name w:val="List Table 3 - Accent 5"/>
    <w:basedOn w:val="NormalTable"/>
    <w:uiPriority w:val="99"/>
    <w:pPr>
      <w:spacing w:after="0" w:line="240" w:lineRule="auto"/>
    </w:pPr>
    <w:tblPr>
      <w:tblStyleRowBandSize w:val="1"/>
      <w:tblStyleColBandSize w:val="1"/>
      <w:tblBorders>
        <w:top w:val="single" w:color="d76bca" w:themeColor="accent5" w:themeTint="9a" w:sz="4" w:space="0"/>
        <w:left w:val="single" w:color="d76bca" w:themeColor="accent5" w:themeTint="9a" w:sz="4" w:space="0"/>
        <w:bottom w:val="single" w:color="d76bca" w:themeColor="accent5" w:themeTint="9a" w:sz="4" w:space="0"/>
        <w:right w:val="single" w:color="d76bca" w:themeColor="accent5" w:themeTint="9a" w:sz="4" w:space="0"/>
      </w:tblBorders>
    </w:tblPr>
    <w:tblStylePr w:type="firstRow">
      <w:rPr>
        <w:rFonts w:ascii="Arial" w:hAnsi="Arial"/>
        <w:b/>
        <w:color w:val="ffffff"/>
        <w:sz w:val="22"/>
      </w:rPr>
      <w:tblPr/>
      <w:tcPr>
        <w:shd w:val="clear" w:color="d76bca" w:themeColor="accent5" w:themeTint="9a" w:fill="d76bca"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d76bca" w:themeColor="accent5" w:themeTint="9a" w:sz="4" w:space="0"/>
          <w:right w:val="single" w:color="d76bca" w:themeColor="accent5" w:themeTint="9a" w:sz="4" w:space="0"/>
        </w:tcBorders>
      </w:tcPr>
    </w:tblStylePr>
    <w:tblStylePr w:type="band1Horz">
      <w:rPr>
        <w:rFonts w:ascii="Arial" w:hAnsi="Arial"/>
        <w:color w:val="404040"/>
        <w:sz w:val="22"/>
      </w:rPr>
      <w:tblPr/>
      <w:tcPr>
        <w:tcBorders>
          <w:top w:val="single" w:color="d76bca" w:themeColor="accent5" w:themeTint="9a" w:sz="4" w:space="0"/>
          <w:bottom w:val="single" w:color="d76bca" w:themeColor="accent5" w:themeTint="9a" w:sz="4" w:space="0"/>
        </w:tcBorders>
      </w:tcPr>
    </w:tblStylePr>
  </w:style>
  <w:style w:type="table" w:customStyle="1" w:styleId="ListTable3-Accent6">
    <w:name w:val="List Table 3 - Accent 6"/>
    <w:basedOn w:val="NormalTable"/>
    <w:uiPriority w:val="99"/>
    <w:pPr>
      <w:spacing w:after="0" w:line="240" w:lineRule="auto"/>
    </w:pPr>
    <w:tblPr>
      <w:tblStyleRowBandSize w:val="1"/>
      <w:tblStyleColBandSize w:val="1"/>
      <w:tblBorders>
        <w:top w:val="single" w:color="8ed973" w:themeColor="accent6" w:themeTint="98" w:sz="4" w:space="0"/>
        <w:left w:val="single" w:color="8ed973" w:themeColor="accent6" w:themeTint="98" w:sz="4" w:space="0"/>
        <w:bottom w:val="single" w:color="8ed973" w:themeColor="accent6" w:themeTint="98" w:sz="4" w:space="0"/>
        <w:right w:val="single" w:color="8ed973" w:themeColor="accent6" w:themeTint="98" w:sz="4" w:space="0"/>
      </w:tblBorders>
    </w:tblPr>
    <w:tblStylePr w:type="firstRow">
      <w:rPr>
        <w:rFonts w:ascii="Arial" w:hAnsi="Arial"/>
        <w:b/>
        <w:color w:val="ffffff"/>
        <w:sz w:val="22"/>
      </w:rPr>
      <w:tblPr/>
      <w:tcPr>
        <w:shd w:val="clear" w:color="8ed973" w:themeColor="accent6" w:themeTint="98" w:fill="8ed9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8ed973" w:themeColor="accent6" w:themeTint="98" w:sz="4" w:space="0"/>
          <w:right w:val="single" w:color="8ed973" w:themeColor="accent6" w:themeTint="98" w:sz="4" w:space="0"/>
        </w:tcBorders>
      </w:tcPr>
    </w:tblStylePr>
    <w:tblStylePr w:type="band1Horz">
      <w:rPr>
        <w:rFonts w:ascii="Arial" w:hAnsi="Arial"/>
        <w:color w:val="404040"/>
        <w:sz w:val="22"/>
      </w:rPr>
      <w:tblPr/>
      <w:tcPr>
        <w:tcBorders>
          <w:top w:val="single" w:color="8ed973" w:themeColor="accent6" w:themeTint="98" w:sz="4" w:space="0"/>
          <w:bottom w:val="single" w:color="8ed973" w:themeColor="accent6" w:themeTint="98" w:sz="4" w:space="0"/>
        </w:tcBorders>
      </w:tcPr>
    </w:tblStylePr>
  </w:style>
  <w:style w:type="table" w:styleId="ListTable4">
    <w:name w:val="List Table 4"/>
    <w:basedOn w:val="NormalTable"/>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Table"/>
    <w:uiPriority w:val="99"/>
    <w:pPr>
      <w:spacing w:after="0" w:line="240" w:lineRule="auto"/>
    </w:pPr>
    <w:tblPr>
      <w:tblStyleRowBandSize w:val="1"/>
      <w:tblStyleColBandSize w:val="1"/>
      <w:tblBorders>
        <w:top w:val="single" w:color="4fb5e3" w:themeColor="accent1" w:themeTint="90" w:sz="4" w:space="0"/>
        <w:left w:val="single" w:color="4fb5e3" w:themeColor="accent1" w:themeTint="90" w:sz="4" w:space="0"/>
        <w:bottom w:val="single" w:color="4fb5e3" w:themeColor="accent1" w:themeTint="90" w:sz="4" w:space="0"/>
        <w:right w:val="single" w:color="4fb5e3" w:themeColor="accent1" w:themeTint="90" w:sz="4" w:space="0"/>
        <w:insideH w:val="single" w:color="4fb5e3" w:themeColor="accent1" w:themeTint="90" w:sz="4" w:space="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0def2" w:themeColor="accent1" w:themeTint="40" w:fill="b0def2" w:themeFill="accent1" w:themeFillTint="40"/>
      </w:tcPr>
    </w:tblStylePr>
    <w:tblStylePr w:type="band1Horz">
      <w:rPr>
        <w:rFonts w:ascii="Arial" w:hAnsi="Arial"/>
        <w:color w:val="404040"/>
        <w:sz w:val="22"/>
      </w:rPr>
      <w:tblPr/>
      <w:tcPr>
        <w:shd w:val="clear" w:color="b0def2" w:themeColor="accent1" w:themeTint="40" w:fill="b0def2" w:themeFill="accent1" w:themeFillTint="40"/>
      </w:tcPr>
    </w:tblStylePr>
  </w:style>
  <w:style w:type="table" w:customStyle="1" w:styleId="ListTable4-Accent2">
    <w:name w:val="List Table 4 - Accent 2"/>
    <w:basedOn w:val="NormalTable"/>
    <w:uiPriority w:val="99"/>
    <w:pPr>
      <w:spacing w:after="0" w:line="240" w:lineRule="auto"/>
    </w:pPr>
    <w:tblPr>
      <w:tblStyleRowBandSize w:val="1"/>
      <w:tblStyleColBandSize w:val="1"/>
      <w:tblBorders>
        <w:top w:val="single" w:color="f3ac89" w:themeColor="accent2" w:themeTint="90" w:sz="4" w:space="0"/>
        <w:left w:val="single" w:color="f3ac89" w:themeColor="accent2" w:themeTint="90" w:sz="4" w:space="0"/>
        <w:bottom w:val="single" w:color="f3ac89" w:themeColor="accent2" w:themeTint="90" w:sz="4" w:space="0"/>
        <w:right w:val="single" w:color="f3ac89" w:themeColor="accent2" w:themeTint="90" w:sz="4" w:space="0"/>
        <w:insideH w:val="single" w:color="f3ac89" w:themeColor="accent2" w:themeTint="90" w:sz="4" w:space="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acb" w:themeColor="accent2" w:themeTint="40" w:fill="f9dacb" w:themeFill="accent2" w:themeFillTint="40"/>
      </w:tcPr>
    </w:tblStylePr>
    <w:tblStylePr w:type="band1Horz">
      <w:rPr>
        <w:rFonts w:ascii="Arial" w:hAnsi="Arial"/>
        <w:color w:val="404040"/>
        <w:sz w:val="22"/>
      </w:rPr>
      <w:tblPr/>
      <w:tcPr>
        <w:shd w:val="clear" w:color="f9dacb" w:themeColor="accent2" w:themeTint="40" w:fill="f9dacb" w:themeFill="accent2" w:themeFillTint="40"/>
      </w:tcPr>
    </w:tblStylePr>
  </w:style>
  <w:style w:type="table" w:customStyle="1" w:styleId="ListTable4-Accent3">
    <w:name w:val="List Table 4 - Accent 3"/>
    <w:basedOn w:val="NormalTable"/>
    <w:uiPriority w:val="99"/>
    <w:pPr>
      <w:spacing w:after="0" w:line="240" w:lineRule="auto"/>
    </w:pPr>
    <w:tblPr>
      <w:tblStyleRowBandSize w:val="1"/>
      <w:tblStyleColBandSize w:val="1"/>
      <w:tblBorders>
        <w:top w:val="single" w:color="52d665" w:themeColor="accent3" w:themeTint="90" w:sz="4" w:space="0"/>
        <w:left w:val="single" w:color="52d665" w:themeColor="accent3" w:themeTint="90" w:sz="4" w:space="0"/>
        <w:bottom w:val="single" w:color="52d665" w:themeColor="accent3" w:themeTint="90" w:sz="4" w:space="0"/>
        <w:right w:val="single" w:color="52d665" w:themeColor="accent3" w:themeTint="90" w:sz="4" w:space="0"/>
        <w:insideH w:val="single" w:color="52d665" w:themeColor="accent3" w:themeTint="90" w:sz="4" w:space="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edba" w:themeColor="accent3" w:themeTint="40" w:fill="b1edba" w:themeFill="accent3" w:themeFillTint="40"/>
      </w:tcPr>
    </w:tblStylePr>
    <w:tblStylePr w:type="band1Horz">
      <w:rPr>
        <w:rFonts w:ascii="Arial" w:hAnsi="Arial"/>
        <w:color w:val="404040"/>
        <w:sz w:val="22"/>
      </w:rPr>
      <w:tblPr/>
      <w:tcPr>
        <w:shd w:val="clear" w:color="b1edba" w:themeColor="accent3" w:themeTint="40" w:fill="b1edba" w:themeFill="accent3" w:themeFillTint="40"/>
      </w:tcPr>
    </w:tblStylePr>
  </w:style>
  <w:style w:type="table" w:customStyle="1" w:styleId="ListTable4-Accent4">
    <w:name w:val="List Table 4 - Accent 4"/>
    <w:basedOn w:val="NormalTable"/>
    <w:uiPriority w:val="99"/>
    <w:pPr>
      <w:spacing w:after="0" w:line="240" w:lineRule="auto"/>
    </w:pPr>
    <w:tblPr>
      <w:tblStyleRowBandSize w:val="1"/>
      <w:tblStyleColBandSize w:val="1"/>
      <w:tblBorders>
        <w:top w:val="single" w:color="6acdf4" w:themeColor="accent4" w:themeTint="90" w:sz="4" w:space="0"/>
        <w:left w:val="single" w:color="6acdf4" w:themeColor="accent4" w:themeTint="90" w:sz="4" w:space="0"/>
        <w:bottom w:val="single" w:color="6acdf4" w:themeColor="accent4" w:themeTint="90" w:sz="4" w:space="0"/>
        <w:right w:val="single" w:color="6acdf4" w:themeColor="accent4" w:themeTint="90" w:sz="4" w:space="0"/>
        <w:insideH w:val="single" w:color="6acdf4" w:themeColor="accent4" w:themeTint="90" w:sz="4" w:space="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8fa" w:themeColor="accent4" w:themeTint="40" w:fill="bce8fa" w:themeFill="accent4" w:themeFillTint="40"/>
      </w:tcPr>
    </w:tblStylePr>
    <w:tblStylePr w:type="band1Horz">
      <w:rPr>
        <w:rFonts w:ascii="Arial" w:hAnsi="Arial"/>
        <w:color w:val="404040"/>
        <w:sz w:val="22"/>
      </w:rPr>
      <w:tblPr/>
      <w:tcPr>
        <w:shd w:val="clear" w:color="bce8fa" w:themeColor="accent4" w:themeTint="40" w:fill="bce8fa" w:themeFill="accent4" w:themeFillTint="40"/>
      </w:tcPr>
    </w:tblStylePr>
  </w:style>
  <w:style w:type="table" w:customStyle="1" w:styleId="ListTable4-Accent5">
    <w:name w:val="List Table 4 - Accent 5"/>
    <w:basedOn w:val="NormalTable"/>
    <w:uiPriority w:val="99"/>
    <w:pPr>
      <w:spacing w:after="0" w:line="240" w:lineRule="auto"/>
    </w:pPr>
    <w:tblPr>
      <w:tblStyleRowBandSize w:val="1"/>
      <w:tblStyleColBandSize w:val="1"/>
      <w:tblBorders>
        <w:top w:val="single" w:color="da76ce" w:themeColor="accent5" w:themeTint="90" w:sz="4" w:space="0"/>
        <w:left w:val="single" w:color="da76ce" w:themeColor="accent5" w:themeTint="90" w:sz="4" w:space="0"/>
        <w:bottom w:val="single" w:color="da76ce" w:themeColor="accent5" w:themeTint="90" w:sz="4" w:space="0"/>
        <w:right w:val="single" w:color="da76ce" w:themeColor="accent5" w:themeTint="90" w:sz="4" w:space="0"/>
        <w:insideH w:val="single" w:color="da76ce" w:themeColor="accent5" w:themeTint="90" w:sz="4" w:space="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NormalTable"/>
    <w:uiPriority w:val="99"/>
    <w:pPr>
      <w:spacing w:after="0" w:line="240" w:lineRule="auto"/>
    </w:pPr>
    <w:tblPr>
      <w:tblStyleRowBandSize w:val="1"/>
      <w:tblStyleColBandSize w:val="1"/>
      <w:tblBorders>
        <w:top w:val="single" w:color="93da7a" w:themeColor="accent6" w:themeTint="90" w:sz="4" w:space="0"/>
        <w:left w:val="single" w:color="93da7a" w:themeColor="accent6" w:themeTint="90" w:sz="4" w:space="0"/>
        <w:bottom w:val="single" w:color="93da7a" w:themeColor="accent6" w:themeTint="90" w:sz="4" w:space="0"/>
        <w:right w:val="single" w:color="93da7a" w:themeColor="accent6" w:themeTint="90" w:sz="4" w:space="0"/>
        <w:insideH w:val="single" w:color="93da7a" w:themeColor="accent6" w:themeTint="90" w:sz="4" w:space="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3" w:themeColor="accent6" w:themeTint="40" w:fill="cfefc3" w:themeFill="accent6" w:themeFillTint="40"/>
      </w:tcPr>
    </w:tblStylePr>
    <w:tblStylePr w:type="band1Horz">
      <w:rPr>
        <w:rFonts w:ascii="Arial" w:hAnsi="Arial"/>
        <w:color w:val="404040"/>
        <w:sz w:val="22"/>
      </w:rPr>
      <w:tblPr/>
      <w:tcPr>
        <w:shd w:val="clear" w:color="cfefc3" w:themeColor="accent6" w:themeTint="40" w:fill="cfefc3" w:themeFill="accent6" w:themeFillTint="40"/>
      </w:tcPr>
    </w:tblStylePr>
  </w:style>
  <w:style w:type="table" w:styleId="ListTable5Dark">
    <w:name w:val="List Table 5 Dark"/>
    <w:basedOn w:val="NormalTable"/>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color="7f7f7f" w:themeColor="text1" w:themeTint="80" w:sz="32" w:space="0"/>
          <w:bottom w:val="single" w:color="ffffff" w:themeColor="light1" w:sz="12" w:space="0"/>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7f7f7f" w:themeColor="text1" w:themeTint="80" w:sz="32" w:space="0"/>
          <w:right w:val="single" w:color="ffffff" w:themeColor="light1" w:sz="4" w:space="0"/>
        </w:tcBorders>
      </w:tcPr>
    </w:tblStylePr>
    <w:tblStylePr w:type="lastCol">
      <w:tblPr/>
      <w:tcPr>
        <w:tcBorders>
          <w:left w:val="single" w:color="ffffff" w:themeColor="light1" w:sz="4" w:space="0"/>
          <w:right w:val="single" w:color="7f7f7f" w:themeColor="text1" w:themeTint="80" w:sz="32" w:space="0"/>
        </w:tcBorders>
      </w:tcPr>
    </w:tblStylePr>
    <w:tblStylePr w:type="band1Vert">
      <w:tblPr/>
      <w:tcPr>
        <w:tcBorders>
          <w:left w:val="single" w:color="ffffff" w:themeColor="light1" w:sz="4" w:space="0"/>
          <w:right w:val="single" w:color="ffffff" w:themeColor="light1" w:sz="4" w:space="0"/>
        </w:tcBorders>
        <w:shd w:val="clear" w:color="7f7f7f" w:themeColor="text1" w:themeTint="80"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themeColor="text1" w:themeTint="80" w:fill="7f7f7f" w:themeFill="text1" w:themeFillTint="80"/>
      </w:tcPr>
    </w:tblStylePr>
    <w:tblStylePr w:type="band2Horz">
      <w:tblPr/>
      <w:tcPr>
        <w:tcBorders>
          <w:top w:val="single" w:color="ffffff" w:themeColor="light1" w:sz="4" w:space="0"/>
          <w:bottom w:val="single" w:color="ffffff" w:themeColor="light1" w:sz="4" w:space="0"/>
        </w:tcBorders>
        <w:shd w:val="clear" w:color="7f7f7f" w:themeColor="text1" w:themeTint="80" w:fill="7f7f7f" w:themeFill="text1" w:themeFillTint="80"/>
      </w:tcPr>
    </w:tblStylePr>
  </w:style>
  <w:style w:type="table" w:customStyle="1" w:styleId="ListTable5Dark-Accent1">
    <w:name w:val="List Table 5 Dark - Accent 1"/>
    <w:basedOn w:val="NormalTable"/>
    <w:uiPriority w:val="99"/>
    <w:pPr>
      <w:spacing w:after="0" w:line="240" w:lineRule="auto"/>
    </w:pPr>
    <w:tblPr>
      <w:tblStyleRowBandSize w:val="1"/>
      <w:tblStyleColBandSize w:val="1"/>
      <w:tblBorders>
        <w:top w:val="single" w:color="156082" w:themeColor="accent1" w:sz="32" w:space="0"/>
        <w:left w:val="single" w:color="156082" w:themeColor="accent1" w:sz="32" w:space="0"/>
        <w:bottom w:val="single" w:color="156082" w:themeColor="accent1" w:sz="32" w:space="0"/>
        <w:right w:val="single" w:color="156082" w:themeColor="accent1" w:sz="32" w:space="0"/>
      </w:tblBorders>
      <w:shd w:val="clear" w:color="156082" w:themeColor="accent1" w:fill="156082" w:themeFill="accent1"/>
    </w:tblPr>
    <w:tblStylePr w:type="firstRow">
      <w:rPr>
        <w:rFonts w:ascii="Arial" w:hAnsi="Arial"/>
        <w:b/>
        <w:color w:val="ffffff" w:themeColor="light1"/>
        <w:sz w:val="22"/>
      </w:rPr>
      <w:tblPr/>
      <w:tcPr>
        <w:tcBorders>
          <w:top w:val="single" w:color="156082" w:themeColor="accent1" w:sz="32" w:space="0"/>
          <w:bottom w:val="single" w:color="ffffff" w:themeColor="light1" w:sz="12" w:space="0"/>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156082" w:themeColor="accent1" w:sz="32" w:space="0"/>
          <w:right w:val="single" w:color="ffffff" w:themeColor="light1" w:sz="4" w:space="0"/>
        </w:tcBorders>
      </w:tcPr>
    </w:tblStylePr>
    <w:tblStylePr w:type="lastCol">
      <w:tblPr/>
      <w:tcPr>
        <w:tcBorders>
          <w:left w:val="single" w:color="ffffff" w:themeColor="light1" w:sz="4" w:space="0"/>
          <w:right w:val="single" w:color="156082" w:themeColor="accent1" w:sz="32" w:space="0"/>
        </w:tcBorders>
      </w:tcPr>
    </w:tblStylePr>
    <w:tblStylePr w:type="band1Vert">
      <w:tblPr/>
      <w:tcPr>
        <w:tcBorders>
          <w:left w:val="single" w:color="ffffff" w:themeColor="light1" w:sz="4" w:space="0"/>
          <w:right w:val="single" w:color="ffffff" w:themeColor="light1" w:sz="4" w:space="0"/>
        </w:tcBorders>
        <w:shd w:val="clear" w:color="156082" w:themeColor="accent1" w:fill="156082"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156082" w:themeColor="accent1" w:fill="156082" w:themeFill="accent1"/>
      </w:tcPr>
    </w:tblStylePr>
    <w:tblStylePr w:type="band2Horz">
      <w:tblPr/>
      <w:tcPr>
        <w:tcBorders>
          <w:top w:val="single" w:color="ffffff" w:themeColor="light1" w:sz="4" w:space="0"/>
          <w:bottom w:val="single" w:color="ffffff" w:themeColor="light1" w:sz="4" w:space="0"/>
        </w:tcBorders>
        <w:shd w:val="clear" w:color="156082" w:themeColor="accent1" w:fill="156082" w:themeFill="accent1"/>
      </w:tcPr>
    </w:tblStylePr>
  </w:style>
  <w:style w:type="table" w:customStyle="1" w:styleId="ListTable5Dark-Accent2">
    <w:name w:val="List Table 5 Dark - Accent 2"/>
    <w:basedOn w:val="NormalTable"/>
    <w:uiPriority w:val="99"/>
    <w:pPr>
      <w:spacing w:after="0" w:line="240" w:lineRule="auto"/>
    </w:pPr>
    <w:tblPr>
      <w:tblStyleRowBandSize w:val="1"/>
      <w:tblStyleColBandSize w:val="1"/>
      <w:tblBorders>
        <w:top w:val="single" w:color="f2a984" w:themeColor="accent2" w:themeTint="97" w:sz="32" w:space="0"/>
        <w:left w:val="single" w:color="f2a984" w:themeColor="accent2" w:themeTint="97" w:sz="32" w:space="0"/>
        <w:bottom w:val="single" w:color="f2a984" w:themeColor="accent2" w:themeTint="97" w:sz="32" w:space="0"/>
        <w:right w:val="single" w:color="f2a984" w:themeColor="accent2" w:themeTint="97" w:sz="32" w:space="0"/>
      </w:tblBorders>
      <w:shd w:val="clear" w:color="f2a984" w:themeColor="accent2" w:themeTint="97" w:fill="f2a984" w:themeFill="accent2" w:themeFillTint="97"/>
    </w:tblPr>
    <w:tblStylePr w:type="firstRow">
      <w:rPr>
        <w:rFonts w:ascii="Arial" w:hAnsi="Arial"/>
        <w:b/>
        <w:color w:val="ffffff" w:themeColor="light1"/>
        <w:sz w:val="22"/>
      </w:rPr>
      <w:tblPr/>
      <w:tcPr>
        <w:tcBorders>
          <w:top w:val="single" w:color="f2a984" w:themeColor="accent2" w:themeTint="97" w:sz="32" w:space="0"/>
          <w:bottom w:val="single" w:color="ffffff" w:themeColor="light1" w:sz="12" w:space="0"/>
        </w:tcBorders>
        <w:shd w:val="clear" w:color="f2a984" w:themeColor="accent2" w:themeTint="97" w:fill="f2a9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f2a984" w:themeColor="accent2" w:themeTint="97" w:sz="32" w:space="0"/>
          <w:right w:val="single" w:color="ffffff" w:themeColor="light1" w:sz="4" w:space="0"/>
        </w:tcBorders>
      </w:tcPr>
    </w:tblStylePr>
    <w:tblStylePr w:type="lastCol">
      <w:tblPr/>
      <w:tcPr>
        <w:tcBorders>
          <w:left w:val="single" w:color="ffffff" w:themeColor="light1" w:sz="4" w:space="0"/>
          <w:right w:val="single" w:color="f2a984" w:themeColor="accent2" w:themeTint="97" w:sz="32" w:space="0"/>
        </w:tcBorders>
      </w:tcPr>
    </w:tblStylePr>
    <w:tblStylePr w:type="band1Vert">
      <w:tblPr/>
      <w:tcPr>
        <w:tcBorders>
          <w:left w:val="single" w:color="ffffff" w:themeColor="light1" w:sz="4" w:space="0"/>
          <w:right w:val="single" w:color="ffffff" w:themeColor="light1" w:sz="4" w:space="0"/>
        </w:tcBorders>
        <w:shd w:val="clear" w:color="f2a984" w:themeColor="accent2" w:themeTint="97" w:fill="f2a984"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2a984" w:themeColor="accent2" w:themeTint="97" w:fill="f2a984" w:themeFill="accent2" w:themeFillTint="97"/>
      </w:tcPr>
    </w:tblStylePr>
    <w:tblStylePr w:type="band2Horz">
      <w:tblPr/>
      <w:tcPr>
        <w:tcBorders>
          <w:top w:val="single" w:color="ffffff" w:themeColor="light1" w:sz="4" w:space="0"/>
          <w:bottom w:val="single" w:color="ffffff" w:themeColor="light1" w:sz="4" w:space="0"/>
        </w:tcBorders>
        <w:shd w:val="clear" w:color="f2a984" w:themeColor="accent2" w:themeTint="97" w:fill="f2a984" w:themeFill="accent2" w:themeFillTint="97"/>
      </w:tcPr>
    </w:tblStylePr>
  </w:style>
  <w:style w:type="table" w:customStyle="1" w:styleId="ListTable5Dark-Accent3">
    <w:name w:val="List Table 5 Dark - Accent 3"/>
    <w:basedOn w:val="NormalTable"/>
    <w:uiPriority w:val="99"/>
    <w:pPr>
      <w:spacing w:after="0" w:line="240" w:lineRule="auto"/>
    </w:pPr>
    <w:tblPr>
      <w:tblStyleRowBandSize w:val="1"/>
      <w:tblStyleColBandSize w:val="1"/>
      <w:tblBorders>
        <w:top w:val="single" w:color="48d45c" w:themeColor="accent3" w:themeTint="98" w:sz="32" w:space="0"/>
        <w:left w:val="single" w:color="48d45c" w:themeColor="accent3" w:themeTint="98" w:sz="32" w:space="0"/>
        <w:bottom w:val="single" w:color="48d45c" w:themeColor="accent3" w:themeTint="98" w:sz="32" w:space="0"/>
        <w:right w:val="single" w:color="48d45c" w:themeColor="accent3" w:themeTint="98" w:sz="32" w:space="0"/>
      </w:tblBorders>
      <w:shd w:val="clear" w:color="48d45c" w:themeColor="accent3" w:themeTint="98" w:fill="48d45c" w:themeFill="accent3" w:themeFillTint="98"/>
    </w:tblPr>
    <w:tblStylePr w:type="firstRow">
      <w:rPr>
        <w:rFonts w:ascii="Arial" w:hAnsi="Arial"/>
        <w:b/>
        <w:color w:val="ffffff" w:themeColor="light1"/>
        <w:sz w:val="22"/>
      </w:rPr>
      <w:tblPr/>
      <w:tcPr>
        <w:tcBorders>
          <w:top w:val="single" w:color="48d45c" w:themeColor="accent3" w:themeTint="98" w:sz="32" w:space="0"/>
          <w:bottom w:val="single" w:color="ffffff" w:themeColor="light1" w:sz="12" w:space="0"/>
        </w:tcBorders>
        <w:shd w:val="clear" w:color="48d45c" w:themeColor="accent3" w:themeTint="98" w:fill="48d45c"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48d45c" w:themeColor="accent3" w:themeTint="98" w:sz="32" w:space="0"/>
          <w:right w:val="single" w:color="ffffff" w:themeColor="light1" w:sz="4" w:space="0"/>
        </w:tcBorders>
      </w:tcPr>
    </w:tblStylePr>
    <w:tblStylePr w:type="lastCol">
      <w:tblPr/>
      <w:tcPr>
        <w:tcBorders>
          <w:left w:val="single" w:color="ffffff" w:themeColor="light1" w:sz="4" w:space="0"/>
          <w:right w:val="single" w:color="48d45c" w:themeColor="accent3" w:themeTint="98" w:sz="32" w:space="0"/>
        </w:tcBorders>
      </w:tcPr>
    </w:tblStylePr>
    <w:tblStylePr w:type="band1Vert">
      <w:tblPr/>
      <w:tcPr>
        <w:tcBorders>
          <w:left w:val="single" w:color="ffffff" w:themeColor="light1" w:sz="4" w:space="0"/>
          <w:right w:val="single" w:color="ffffff" w:themeColor="light1" w:sz="4" w:space="0"/>
        </w:tcBorders>
        <w:shd w:val="clear" w:color="48d45c" w:themeColor="accent3" w:themeTint="98" w:fill="48d45c"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8d45c" w:themeColor="accent3" w:themeTint="98" w:fill="48d45c" w:themeFill="accent3" w:themeFillTint="98"/>
      </w:tcPr>
    </w:tblStylePr>
    <w:tblStylePr w:type="band2Horz">
      <w:tblPr/>
      <w:tcPr>
        <w:tcBorders>
          <w:top w:val="single" w:color="ffffff" w:themeColor="light1" w:sz="4" w:space="0"/>
          <w:bottom w:val="single" w:color="ffffff" w:themeColor="light1" w:sz="4" w:space="0"/>
        </w:tcBorders>
        <w:shd w:val="clear" w:color="48d45c" w:themeColor="accent3" w:themeTint="98" w:fill="48d45c" w:themeFill="accent3" w:themeFillTint="98"/>
      </w:tcPr>
    </w:tblStylePr>
  </w:style>
  <w:style w:type="table" w:customStyle="1" w:styleId="ListTable5Dark-Accent4">
    <w:name w:val="List Table 5 Dark - Accent 4"/>
    <w:basedOn w:val="NormalTable"/>
    <w:uiPriority w:val="99"/>
    <w:pPr>
      <w:spacing w:after="0" w:line="240" w:lineRule="auto"/>
    </w:pPr>
    <w:tblPr>
      <w:tblStyleRowBandSize w:val="1"/>
      <w:tblStyleColBandSize w:val="1"/>
      <w:tblBorders>
        <w:top w:val="single" w:color="5ec9f4" w:themeColor="accent4" w:themeTint="9a" w:sz="32" w:space="0"/>
        <w:left w:val="single" w:color="5ec9f4" w:themeColor="accent4" w:themeTint="9a" w:sz="32" w:space="0"/>
        <w:bottom w:val="single" w:color="5ec9f4" w:themeColor="accent4" w:themeTint="9a" w:sz="32" w:space="0"/>
        <w:right w:val="single" w:color="5ec9f4" w:themeColor="accent4" w:themeTint="9a" w:sz="32" w:space="0"/>
      </w:tblBorders>
      <w:shd w:val="clear" w:color="5ec9f4" w:themeColor="accent4" w:themeTint="9a" w:fill="5ec9f4" w:themeFill="accent4" w:themeFillTint="9a"/>
    </w:tblPr>
    <w:tblStylePr w:type="firstRow">
      <w:rPr>
        <w:rFonts w:ascii="Arial" w:hAnsi="Arial"/>
        <w:b/>
        <w:color w:val="ffffff" w:themeColor="light1"/>
        <w:sz w:val="22"/>
      </w:rPr>
      <w:tblPr/>
      <w:tcPr>
        <w:tcBorders>
          <w:top w:val="single" w:color="5ec9f4" w:themeColor="accent4" w:themeTint="9a" w:sz="32" w:space="0"/>
          <w:bottom w:val="single" w:color="ffffff" w:themeColor="light1" w:sz="12" w:space="0"/>
        </w:tcBorders>
        <w:shd w:val="clear" w:color="5ec9f4" w:themeColor="accent4" w:themeTint="9a" w:fill="5ec9f4"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5ec9f4" w:themeColor="accent4" w:themeTint="9a" w:sz="32" w:space="0"/>
          <w:right w:val="single" w:color="ffffff" w:themeColor="light1" w:sz="4" w:space="0"/>
        </w:tcBorders>
      </w:tcPr>
    </w:tblStylePr>
    <w:tblStylePr w:type="lastCol">
      <w:tblPr/>
      <w:tcPr>
        <w:tcBorders>
          <w:left w:val="single" w:color="ffffff" w:themeColor="light1" w:sz="4" w:space="0"/>
          <w:right w:val="single" w:color="5ec9f4" w:themeColor="accent4" w:themeTint="9a" w:sz="32" w:space="0"/>
        </w:tcBorders>
      </w:tcPr>
    </w:tblStylePr>
    <w:tblStylePr w:type="band1Vert">
      <w:tblPr/>
      <w:tcPr>
        <w:tcBorders>
          <w:left w:val="single" w:color="ffffff" w:themeColor="light1" w:sz="4" w:space="0"/>
          <w:right w:val="single" w:color="ffffff" w:themeColor="light1" w:sz="4" w:space="0"/>
        </w:tcBorders>
        <w:shd w:val="clear" w:color="5ec9f4" w:themeColor="accent4" w:themeTint="9a" w:fill="5ec9f4"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5ec9f4" w:themeColor="accent4" w:themeTint="9a" w:fill="5ec9f4" w:themeFill="accent4" w:themeFillTint="9a"/>
      </w:tcPr>
    </w:tblStylePr>
    <w:tblStylePr w:type="band2Horz">
      <w:tblPr/>
      <w:tcPr>
        <w:tcBorders>
          <w:top w:val="single" w:color="ffffff" w:themeColor="light1" w:sz="4" w:space="0"/>
          <w:bottom w:val="single" w:color="ffffff" w:themeColor="light1" w:sz="4" w:space="0"/>
        </w:tcBorders>
        <w:shd w:val="clear" w:color="5ec9f4" w:themeColor="accent4" w:themeTint="9a" w:fill="5ec9f4" w:themeFill="accent4" w:themeFillTint="9a"/>
      </w:tcPr>
    </w:tblStylePr>
  </w:style>
  <w:style w:type="table" w:customStyle="1" w:styleId="ListTable5Dark-Accent5">
    <w:name w:val="List Table 5 Dark - Accent 5"/>
    <w:basedOn w:val="NormalTable"/>
    <w:uiPriority w:val="99"/>
    <w:pPr>
      <w:spacing w:after="0" w:line="240" w:lineRule="auto"/>
    </w:pPr>
    <w:tblPr>
      <w:tblStyleRowBandSize w:val="1"/>
      <w:tblStyleColBandSize w:val="1"/>
      <w:tblBorders>
        <w:top w:val="single" w:color="d76bca" w:themeColor="accent5" w:themeTint="9a" w:sz="32" w:space="0"/>
        <w:left w:val="single" w:color="d76bca" w:themeColor="accent5" w:themeTint="9a" w:sz="32" w:space="0"/>
        <w:bottom w:val="single" w:color="d76bca" w:themeColor="accent5" w:themeTint="9a" w:sz="32" w:space="0"/>
        <w:right w:val="single" w:color="d76bca" w:themeColor="accent5" w:themeTint="9a" w:sz="32" w:space="0"/>
      </w:tblBorders>
      <w:shd w:val="clear" w:color="d76bca" w:themeColor="accent5" w:themeTint="9a" w:fill="d76bca" w:themeFill="accent5" w:themeFillTint="9a"/>
    </w:tblPr>
    <w:tblStylePr w:type="firstRow">
      <w:rPr>
        <w:rFonts w:ascii="Arial" w:hAnsi="Arial"/>
        <w:b/>
        <w:color w:val="ffffff" w:themeColor="light1"/>
        <w:sz w:val="22"/>
      </w:rPr>
      <w:tblPr/>
      <w:tcPr>
        <w:tcBorders>
          <w:top w:val="single" w:color="d76bca" w:themeColor="accent5" w:themeTint="9a" w:sz="32" w:space="0"/>
          <w:bottom w:val="single" w:color="ffffff" w:themeColor="light1" w:sz="12" w:space="0"/>
        </w:tcBorders>
        <w:shd w:val="clear" w:color="d76bca" w:themeColor="accent5" w:themeTint="9a" w:fill="d76bca"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d76bca" w:themeColor="accent5" w:themeTint="9a" w:sz="32" w:space="0"/>
          <w:right w:val="single" w:color="ffffff" w:themeColor="light1" w:sz="4" w:space="0"/>
        </w:tcBorders>
      </w:tcPr>
    </w:tblStylePr>
    <w:tblStylePr w:type="lastCol">
      <w:tblPr/>
      <w:tcPr>
        <w:tcBorders>
          <w:left w:val="single" w:color="ffffff" w:themeColor="light1" w:sz="4" w:space="0"/>
          <w:right w:val="single" w:color="d76bca" w:themeColor="accent5" w:themeTint="9a" w:sz="32" w:space="0"/>
        </w:tcBorders>
      </w:tcPr>
    </w:tblStylePr>
    <w:tblStylePr w:type="band1Vert">
      <w:tblPr/>
      <w:tcPr>
        <w:tcBorders>
          <w:left w:val="single" w:color="ffffff" w:themeColor="light1" w:sz="4" w:space="0"/>
          <w:right w:val="single" w:color="ffffff" w:themeColor="light1" w:sz="4" w:space="0"/>
        </w:tcBorders>
        <w:shd w:val="clear" w:color="d76bca" w:themeColor="accent5" w:themeTint="9a" w:fill="d76bca"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76bca" w:themeColor="accent5" w:themeTint="9a" w:fill="d76bca" w:themeFill="accent5" w:themeFillTint="9a"/>
      </w:tcPr>
    </w:tblStylePr>
    <w:tblStylePr w:type="band2Horz">
      <w:tblPr/>
      <w:tcPr>
        <w:tcBorders>
          <w:top w:val="single" w:color="ffffff" w:themeColor="light1" w:sz="4" w:space="0"/>
          <w:bottom w:val="single" w:color="ffffff" w:themeColor="light1" w:sz="4" w:space="0"/>
        </w:tcBorders>
        <w:shd w:val="clear" w:color="d76bca" w:themeColor="accent5" w:themeTint="9a" w:fill="d76bca" w:themeFill="accent5" w:themeFillTint="9a"/>
      </w:tcPr>
    </w:tblStylePr>
  </w:style>
  <w:style w:type="table" w:customStyle="1" w:styleId="ListTable5Dark-Accent6">
    <w:name w:val="List Table 5 Dark - Accent 6"/>
    <w:basedOn w:val="NormalTable"/>
    <w:uiPriority w:val="99"/>
    <w:pPr>
      <w:spacing w:after="0" w:line="240" w:lineRule="auto"/>
    </w:pPr>
    <w:tblPr>
      <w:tblStyleRowBandSize w:val="1"/>
      <w:tblStyleColBandSize w:val="1"/>
      <w:tblBorders>
        <w:top w:val="single" w:color="8ed973" w:themeColor="accent6" w:themeTint="98" w:sz="32" w:space="0"/>
        <w:left w:val="single" w:color="8ed973" w:themeColor="accent6" w:themeTint="98" w:sz="32" w:space="0"/>
        <w:bottom w:val="single" w:color="8ed973" w:themeColor="accent6" w:themeTint="98" w:sz="32" w:space="0"/>
        <w:right w:val="single" w:color="8ed973" w:themeColor="accent6" w:themeTint="98" w:sz="32" w:space="0"/>
      </w:tblBorders>
      <w:shd w:val="clear" w:color="8ed973" w:themeColor="accent6" w:themeTint="98" w:fill="8ed973" w:themeFill="accent6" w:themeFillTint="98"/>
    </w:tblPr>
    <w:tblStylePr w:type="firstRow">
      <w:rPr>
        <w:rFonts w:ascii="Arial" w:hAnsi="Arial"/>
        <w:b/>
        <w:color w:val="ffffff" w:themeColor="light1"/>
        <w:sz w:val="22"/>
      </w:rPr>
      <w:tblPr/>
      <w:tcPr>
        <w:tcBorders>
          <w:top w:val="single" w:color="8ed973" w:themeColor="accent6" w:themeTint="98" w:sz="32" w:space="0"/>
          <w:bottom w:val="single" w:color="ffffff" w:themeColor="light1" w:sz="12" w:space="0"/>
        </w:tcBorders>
        <w:shd w:val="clear" w:color="8ed973" w:themeColor="accent6" w:themeTint="98" w:fill="8ed9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8ed973" w:themeColor="accent6" w:themeTint="98" w:sz="32" w:space="0"/>
          <w:right w:val="single" w:color="ffffff" w:themeColor="light1" w:sz="4" w:space="0"/>
        </w:tcBorders>
      </w:tcPr>
    </w:tblStylePr>
    <w:tblStylePr w:type="lastCol">
      <w:tblPr/>
      <w:tcPr>
        <w:tcBorders>
          <w:left w:val="single" w:color="ffffff" w:themeColor="light1" w:sz="4" w:space="0"/>
          <w:right w:val="single" w:color="8ed973" w:themeColor="accent6" w:themeTint="98" w:sz="32" w:space="0"/>
        </w:tcBorders>
      </w:tcPr>
    </w:tblStylePr>
    <w:tblStylePr w:type="band1Vert">
      <w:tblPr/>
      <w:tcPr>
        <w:tcBorders>
          <w:left w:val="single" w:color="ffffff" w:themeColor="light1" w:sz="4" w:space="0"/>
          <w:right w:val="single" w:color="ffffff" w:themeColor="light1" w:sz="4" w:space="0"/>
        </w:tcBorders>
        <w:shd w:val="clear" w:color="8ed973" w:themeColor="accent6" w:themeTint="98" w:fill="8ed973"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8ed973" w:themeColor="accent6" w:themeTint="98" w:fill="8ed973" w:themeFill="accent6" w:themeFillTint="98"/>
      </w:tcPr>
    </w:tblStylePr>
    <w:tblStylePr w:type="band2Horz">
      <w:tblPr/>
      <w:tcPr>
        <w:tcBorders>
          <w:top w:val="single" w:color="ffffff" w:themeColor="light1" w:sz="4" w:space="0"/>
          <w:bottom w:val="single" w:color="ffffff" w:themeColor="light1" w:sz="4" w:space="0"/>
        </w:tcBorders>
        <w:shd w:val="clear" w:color="8ed973" w:themeColor="accent6" w:themeTint="98" w:fill="8ed973" w:themeFill="accent6" w:themeFillTint="98"/>
      </w:tcPr>
    </w:tblStylePr>
  </w:style>
  <w:style w:type="table" w:styleId="ListTable6Colorful">
    <w:name w:val="List Table 6 Colorful"/>
    <w:basedOn w:val="NormalTable"/>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val="000000" w:themeColor="text1"/>
      </w:rPr>
      <w:tblPr/>
      <w:tcPr>
        <w:tcBorders>
          <w:bottom w:val="single" w:color="7f7f7f" w:themeColor="text1" w:themeTint="80" w:sz="4" w:space="0"/>
        </w:tcBorders>
      </w:tcPr>
    </w:tblStylePr>
    <w:tblStylePr w:type="lastRow">
      <w:rPr>
        <w:b/>
        <w:color w:val="000000" w:themeColor="text1"/>
      </w:rPr>
      <w:tblPr/>
      <w:tcPr>
        <w:tcBorders>
          <w:top w:val="single" w:color="7f7f7f" w:themeColor="text1" w:themeTint="80" w:sz="4" w:space="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Table"/>
    <w:uiPriority w:val="99"/>
    <w:pPr>
      <w:spacing w:after="0" w:line="240" w:lineRule="auto"/>
    </w:pPr>
    <w:tblPr>
      <w:tblStyleRowBandSize w:val="1"/>
      <w:tblStyleColBandSize w:val="1"/>
      <w:tblBorders>
        <w:top w:val="single" w:color="156082" w:themeColor="accent1" w:sz="4" w:space="0"/>
        <w:bottom w:val="single" w:color="156082" w:themeColor="accent1" w:sz="4" w:space="0"/>
      </w:tblBorders>
    </w:tblPr>
    <w:tblStylePr w:type="firstRow">
      <w:rPr>
        <w:b/>
        <w:color w:val="0c374a" w:themeColor="accent1" w:themeShade="95"/>
      </w:rPr>
      <w:tblPr/>
      <w:tcPr>
        <w:tcBorders>
          <w:bottom w:val="single" w:color="156082" w:themeColor="accent1" w:sz="4" w:space="0"/>
        </w:tcBorders>
      </w:tcPr>
    </w:tblStylePr>
    <w:tblStylePr w:type="lastRow">
      <w:rPr>
        <w:b/>
        <w:color w:val="0c374a" w:themeColor="accent1" w:themeShade="95"/>
      </w:rPr>
      <w:tblPr/>
      <w:tcPr>
        <w:tcBorders>
          <w:top w:val="single" w:color="156082" w:themeColor="accent1" w:sz="4" w:space="0"/>
        </w:tcBorders>
      </w:tcPr>
    </w:tblStylePr>
    <w:tblStylePr w:type="firstCol">
      <w:rPr>
        <w:b/>
        <w:color w:val="0c374a" w:themeColor="accent1" w:themeShade="95"/>
      </w:rPr>
    </w:tblStylePr>
    <w:tblStylePr w:type="lastCol">
      <w:rPr>
        <w:b/>
        <w:color w:val="0c374a" w:themeColor="accent1" w:themeShade="95"/>
      </w:rPr>
    </w:tblStylePr>
    <w:tblStylePr w:type="band1Vert">
      <w:tblPr/>
      <w:tcPr>
        <w:shd w:val="clear" w:color="b0def2" w:themeColor="accent1" w:themeTint="40" w:fill="b0def2" w:themeFill="accent1" w:themeFillTint="40"/>
      </w:tcPr>
    </w:tblStylePr>
    <w:tblStylePr w:type="band1Horz">
      <w:rPr>
        <w:rFonts w:ascii="Arial" w:hAnsi="Arial"/>
        <w:color w:val="0c374a" w:themeColor="accent1" w:themeShade="95"/>
        <w:sz w:val="22"/>
      </w:rPr>
      <w:tblPr/>
      <w:tcPr>
        <w:shd w:val="clear" w:color="b0def2" w:themeColor="accent1" w:themeTint="40" w:fill="b0def2" w:themeFill="accent1" w:themeFillTint="40"/>
      </w:tcPr>
    </w:tblStylePr>
    <w:tblStylePr w:type="band2Horz">
      <w:rPr>
        <w:rFonts w:ascii="Arial" w:hAnsi="Arial"/>
        <w:color w:val="0c374a" w:themeColor="accent1" w:themeShade="95"/>
        <w:sz w:val="22"/>
      </w:rPr>
    </w:tblStylePr>
  </w:style>
  <w:style w:type="table" w:customStyle="1" w:styleId="ListTable6Colorful-Accent2">
    <w:name w:val="List Table 6 Colorful - Accent 2"/>
    <w:basedOn w:val="NormalTable"/>
    <w:uiPriority w:val="99"/>
    <w:pPr>
      <w:spacing w:after="0" w:line="240" w:lineRule="auto"/>
    </w:pPr>
    <w:tblPr>
      <w:tblStyleRowBandSize w:val="1"/>
      <w:tblStyleColBandSize w:val="1"/>
      <w:tblBorders>
        <w:top w:val="single" w:color="f2a984" w:themeColor="accent2" w:themeTint="97" w:sz="4" w:space="0"/>
        <w:bottom w:val="single" w:color="f2a984" w:themeColor="accent2" w:themeTint="97" w:sz="4" w:space="0"/>
      </w:tblBorders>
    </w:tblPr>
    <w:tblStylePr w:type="firstRow">
      <w:rPr>
        <w:b/>
        <w:color w:val="f2a984" w:themeColor="accent2" w:themeTint="97"/>
      </w:rPr>
      <w:tblPr/>
      <w:tcPr>
        <w:tcBorders>
          <w:bottom w:val="single" w:color="f2a984" w:themeColor="accent2" w:themeTint="97" w:sz="4" w:space="0"/>
        </w:tcBorders>
      </w:tcPr>
    </w:tblStylePr>
    <w:tblStylePr w:type="lastRow">
      <w:rPr>
        <w:b/>
        <w:color w:val="f2a984" w:themeColor="accent2" w:themeTint="97"/>
      </w:rPr>
      <w:tblPr/>
      <w:tcPr>
        <w:tcBorders>
          <w:top w:val="single" w:color="f2a984" w:themeColor="accent2" w:themeTint="97" w:sz="4" w:space="0"/>
        </w:tcBorders>
      </w:tcPr>
    </w:tblStylePr>
    <w:tblStylePr w:type="firstCol">
      <w:rPr>
        <w:b/>
        <w:color w:val="f2a984" w:themeColor="accent2" w:themeTint="97"/>
      </w:rPr>
    </w:tblStylePr>
    <w:tblStylePr w:type="lastCol">
      <w:rPr>
        <w:b/>
        <w:color w:val="f2a984" w:themeColor="accent2" w:themeTint="97"/>
      </w:rPr>
    </w:tblStylePr>
    <w:tblStylePr w:type="band1Vert">
      <w:tblPr/>
      <w:tcPr>
        <w:shd w:val="clear" w:color="f9dacb" w:themeColor="accent2" w:themeTint="40" w:fill="f9dacb" w:themeFill="accent2" w:themeFillTint="40"/>
      </w:tcPr>
    </w:tblStylePr>
    <w:tblStylePr w:type="band1Horz">
      <w:rPr>
        <w:rFonts w:ascii="Arial" w:hAnsi="Arial"/>
        <w:color w:val="f2a984" w:themeColor="accent2" w:themeTint="97"/>
        <w:sz w:val="22"/>
      </w:rPr>
      <w:tblPr/>
      <w:tcPr>
        <w:shd w:val="clear" w:color="f9dacb" w:themeColor="accent2" w:themeTint="40" w:fill="f9dacb" w:themeFill="accent2" w:themeFillTint="40"/>
      </w:tcPr>
    </w:tblStylePr>
    <w:tblStylePr w:type="band2Horz">
      <w:rPr>
        <w:rFonts w:ascii="Arial" w:hAnsi="Arial"/>
        <w:color w:val="f2a984" w:themeColor="accent2" w:themeTint="97"/>
        <w:sz w:val="22"/>
      </w:rPr>
    </w:tblStylePr>
  </w:style>
  <w:style w:type="table" w:customStyle="1" w:styleId="ListTable6Colorful-Accent3">
    <w:name w:val="List Table 6 Colorful - Accent 3"/>
    <w:basedOn w:val="NormalTable"/>
    <w:uiPriority w:val="99"/>
    <w:pPr>
      <w:spacing w:after="0" w:line="240" w:lineRule="auto"/>
    </w:pPr>
    <w:tblPr>
      <w:tblStyleRowBandSize w:val="1"/>
      <w:tblStyleColBandSize w:val="1"/>
      <w:tblBorders>
        <w:top w:val="single" w:color="48d45c" w:themeColor="accent3" w:themeTint="98" w:sz="4" w:space="0"/>
        <w:bottom w:val="single" w:color="48d45c" w:themeColor="accent3" w:themeTint="98" w:sz="4" w:space="0"/>
      </w:tblBorders>
    </w:tblPr>
    <w:tblStylePr w:type="firstRow">
      <w:rPr>
        <w:b/>
        <w:color w:val="48d45c" w:themeColor="accent3" w:themeTint="98"/>
      </w:rPr>
      <w:tblPr/>
      <w:tcPr>
        <w:tcBorders>
          <w:bottom w:val="single" w:color="48d45c" w:themeColor="accent3" w:themeTint="98" w:sz="4" w:space="0"/>
        </w:tcBorders>
      </w:tcPr>
    </w:tblStylePr>
    <w:tblStylePr w:type="lastRow">
      <w:rPr>
        <w:b/>
        <w:color w:val="48d45c" w:themeColor="accent3" w:themeTint="98"/>
      </w:rPr>
      <w:tblPr/>
      <w:tcPr>
        <w:tcBorders>
          <w:top w:val="single" w:color="48d45c" w:themeColor="accent3" w:themeTint="98" w:sz="4" w:space="0"/>
        </w:tcBorders>
      </w:tcPr>
    </w:tblStylePr>
    <w:tblStylePr w:type="firstCol">
      <w:rPr>
        <w:b/>
        <w:color w:val="48d45c" w:themeColor="accent3" w:themeTint="98"/>
      </w:rPr>
    </w:tblStylePr>
    <w:tblStylePr w:type="lastCol">
      <w:rPr>
        <w:b/>
        <w:color w:val="48d45c" w:themeColor="accent3" w:themeTint="98"/>
      </w:rPr>
    </w:tblStylePr>
    <w:tblStylePr w:type="band1Vert">
      <w:tblPr/>
      <w:tcPr>
        <w:shd w:val="clear" w:color="b1edba" w:themeColor="accent3" w:themeTint="40" w:fill="b1edba" w:themeFill="accent3" w:themeFillTint="40"/>
      </w:tcPr>
    </w:tblStylePr>
    <w:tblStylePr w:type="band1Horz">
      <w:rPr>
        <w:rFonts w:ascii="Arial" w:hAnsi="Arial"/>
        <w:color w:val="48d45c" w:themeColor="accent3" w:themeTint="98"/>
        <w:sz w:val="22"/>
      </w:rPr>
      <w:tblPr/>
      <w:tcPr>
        <w:shd w:val="clear" w:color="b1edba" w:themeColor="accent3" w:themeTint="40" w:fill="b1edba" w:themeFill="accent3" w:themeFillTint="40"/>
      </w:tcPr>
    </w:tblStylePr>
    <w:tblStylePr w:type="band2Horz">
      <w:rPr>
        <w:rFonts w:ascii="Arial" w:hAnsi="Arial"/>
        <w:color w:val="48d45c" w:themeColor="accent3" w:themeTint="98"/>
        <w:sz w:val="22"/>
      </w:rPr>
    </w:tblStylePr>
  </w:style>
  <w:style w:type="table" w:customStyle="1" w:styleId="ListTable6Colorful-Accent4">
    <w:name w:val="List Table 6 Colorful - Accent 4"/>
    <w:basedOn w:val="NormalTable"/>
    <w:uiPriority w:val="99"/>
    <w:pPr>
      <w:spacing w:after="0" w:line="240" w:lineRule="auto"/>
    </w:pPr>
    <w:tblPr>
      <w:tblStyleRowBandSize w:val="1"/>
      <w:tblStyleColBandSize w:val="1"/>
      <w:tblBorders>
        <w:top w:val="single" w:color="5ec9f4" w:themeColor="accent4" w:themeTint="9a" w:sz="4" w:space="0"/>
        <w:bottom w:val="single" w:color="5ec9f4" w:themeColor="accent4" w:themeTint="9a" w:sz="4" w:space="0"/>
      </w:tblBorders>
    </w:tblPr>
    <w:tblStylePr w:type="firstRow">
      <w:rPr>
        <w:b/>
        <w:color w:val="5ec9f4" w:themeColor="accent4" w:themeTint="9a"/>
      </w:rPr>
      <w:tblPr/>
      <w:tcPr>
        <w:tcBorders>
          <w:bottom w:val="single" w:color="5ec9f4" w:themeColor="accent4" w:themeTint="9a" w:sz="4" w:space="0"/>
        </w:tcBorders>
      </w:tcPr>
    </w:tblStylePr>
    <w:tblStylePr w:type="lastRow">
      <w:rPr>
        <w:b/>
        <w:color w:val="5ec9f4" w:themeColor="accent4" w:themeTint="9a"/>
      </w:rPr>
      <w:tblPr/>
      <w:tcPr>
        <w:tcBorders>
          <w:top w:val="single" w:color="5ec9f4" w:themeColor="accent4" w:themeTint="9a" w:sz="4" w:space="0"/>
        </w:tcBorders>
      </w:tcPr>
    </w:tblStylePr>
    <w:tblStylePr w:type="firstCol">
      <w:rPr>
        <w:b/>
        <w:color w:val="5ec9f4" w:themeColor="accent4" w:themeTint="9a"/>
      </w:rPr>
    </w:tblStylePr>
    <w:tblStylePr w:type="lastCol">
      <w:rPr>
        <w:b/>
        <w:color w:val="5ec9f4" w:themeColor="accent4" w:themeTint="9a"/>
      </w:rPr>
    </w:tblStylePr>
    <w:tblStylePr w:type="band1Vert">
      <w:tblPr/>
      <w:tcPr>
        <w:shd w:val="clear" w:color="bce8fa" w:themeColor="accent4" w:themeTint="40" w:fill="bce8fa" w:themeFill="accent4" w:themeFillTint="40"/>
      </w:tcPr>
    </w:tblStylePr>
    <w:tblStylePr w:type="band1Horz">
      <w:rPr>
        <w:rFonts w:ascii="Arial" w:hAnsi="Arial"/>
        <w:color w:val="5ec9f4" w:themeColor="accent4" w:themeTint="9a"/>
        <w:sz w:val="22"/>
      </w:rPr>
      <w:tblPr/>
      <w:tcPr>
        <w:shd w:val="clear" w:color="bce8fa" w:themeColor="accent4" w:themeTint="40" w:fill="bce8fa" w:themeFill="accent4" w:themeFillTint="40"/>
      </w:tcPr>
    </w:tblStylePr>
    <w:tblStylePr w:type="band2Horz">
      <w:rPr>
        <w:rFonts w:ascii="Arial" w:hAnsi="Arial"/>
        <w:color w:val="5ec9f4" w:themeColor="accent4" w:themeTint="9a"/>
        <w:sz w:val="22"/>
      </w:rPr>
    </w:tblStylePr>
  </w:style>
  <w:style w:type="table" w:customStyle="1" w:styleId="ListTable6Colorful-Accent5">
    <w:name w:val="List Table 6 Colorful - Accent 5"/>
    <w:basedOn w:val="NormalTable"/>
    <w:uiPriority w:val="99"/>
    <w:pPr>
      <w:spacing w:after="0" w:line="240" w:lineRule="auto"/>
    </w:pPr>
    <w:tblPr>
      <w:tblStyleRowBandSize w:val="1"/>
      <w:tblStyleColBandSize w:val="1"/>
      <w:tblBorders>
        <w:top w:val="single" w:color="d76bca" w:themeColor="accent5" w:themeTint="9a" w:sz="4" w:space="0"/>
        <w:bottom w:val="single" w:color="d76bca" w:themeColor="accent5" w:themeTint="9a" w:sz="4" w:space="0"/>
      </w:tblBorders>
    </w:tblPr>
    <w:tblStylePr w:type="firstRow">
      <w:rPr>
        <w:b/>
        <w:color w:val="d76bca" w:themeColor="accent5" w:themeTint="9a"/>
      </w:rPr>
      <w:tblPr/>
      <w:tcPr>
        <w:tcBorders>
          <w:bottom w:val="single" w:color="d76bca" w:themeColor="accent5" w:themeTint="9a" w:sz="4" w:space="0"/>
        </w:tcBorders>
      </w:tcPr>
    </w:tblStylePr>
    <w:tblStylePr w:type="lastRow">
      <w:rPr>
        <w:b/>
        <w:color w:val="d76bca" w:themeColor="accent5" w:themeTint="9a"/>
      </w:rPr>
      <w:tblPr/>
      <w:tcPr>
        <w:tcBorders>
          <w:top w:val="single" w:color="d76bca" w:themeColor="accent5" w:themeTint="9a" w:sz="4" w:space="0"/>
        </w:tcBorders>
      </w:tcPr>
    </w:tblStylePr>
    <w:tblStylePr w:type="firstCol">
      <w:rPr>
        <w:b/>
        <w:color w:val="d76bca" w:themeColor="accent5" w:themeTint="9a"/>
      </w:rPr>
    </w:tblStylePr>
    <w:tblStylePr w:type="lastCol">
      <w:rPr>
        <w:b/>
        <w:color w:val="d76bca" w:themeColor="accent5" w:themeTint="9a"/>
      </w:rPr>
    </w:tblStylePr>
    <w:tblStylePr w:type="band1Vert">
      <w:tblPr/>
      <w:tcPr>
        <w:shd w:val="clear" w:color="eec2e9" w:themeColor="accent5" w:themeTint="40" w:fill="eec2e9" w:themeFill="accent5" w:themeFillTint="40"/>
      </w:tcPr>
    </w:tblStylePr>
    <w:tblStylePr w:type="band1Horz">
      <w:rPr>
        <w:rFonts w:ascii="Arial" w:hAnsi="Arial"/>
        <w:color w:val="d76bca" w:themeColor="accent5" w:themeTint="9a"/>
        <w:sz w:val="22"/>
      </w:rPr>
      <w:tblPr/>
      <w:tcPr>
        <w:shd w:val="clear" w:color="eec2e9" w:themeColor="accent5" w:themeTint="40" w:fill="eec2e9" w:themeFill="accent5" w:themeFillTint="40"/>
      </w:tcPr>
    </w:tblStylePr>
    <w:tblStylePr w:type="band2Horz">
      <w:rPr>
        <w:rFonts w:ascii="Arial" w:hAnsi="Arial"/>
        <w:color w:val="d76bca" w:themeColor="accent5" w:themeTint="9a"/>
        <w:sz w:val="22"/>
      </w:rPr>
    </w:tblStylePr>
  </w:style>
  <w:style w:type="table" w:customStyle="1" w:styleId="ListTable6Colorful-Accent6">
    <w:name w:val="List Table 6 Colorful - Accent 6"/>
    <w:basedOn w:val="NormalTable"/>
    <w:uiPriority w:val="99"/>
    <w:pPr>
      <w:spacing w:after="0" w:line="240" w:lineRule="auto"/>
    </w:pPr>
    <w:tblPr>
      <w:tblStyleRowBandSize w:val="1"/>
      <w:tblStyleColBandSize w:val="1"/>
      <w:tblBorders>
        <w:top w:val="single" w:color="8ed973" w:themeColor="accent6" w:themeTint="98" w:sz="4" w:space="0"/>
        <w:bottom w:val="single" w:color="8ed973" w:themeColor="accent6" w:themeTint="98" w:sz="4" w:space="0"/>
      </w:tblBorders>
    </w:tblPr>
    <w:tblStylePr w:type="firstRow">
      <w:rPr>
        <w:b/>
        <w:color w:val="8ed973" w:themeColor="accent6" w:themeTint="98"/>
      </w:rPr>
      <w:tblPr/>
      <w:tcPr>
        <w:tcBorders>
          <w:bottom w:val="single" w:color="8ed973" w:themeColor="accent6" w:themeTint="98" w:sz="4" w:space="0"/>
        </w:tcBorders>
      </w:tcPr>
    </w:tblStylePr>
    <w:tblStylePr w:type="lastRow">
      <w:rPr>
        <w:b/>
        <w:color w:val="8ed973" w:themeColor="accent6" w:themeTint="98"/>
      </w:rPr>
      <w:tblPr/>
      <w:tcPr>
        <w:tcBorders>
          <w:top w:val="single" w:color="8ed973" w:themeColor="accent6" w:themeTint="98" w:sz="4" w:space="0"/>
        </w:tcBorders>
      </w:tcPr>
    </w:tblStylePr>
    <w:tblStylePr w:type="firstCol">
      <w:rPr>
        <w:b/>
        <w:color w:val="8ed973" w:themeColor="accent6" w:themeTint="98"/>
      </w:rPr>
    </w:tblStylePr>
    <w:tblStylePr w:type="lastCol">
      <w:rPr>
        <w:b/>
        <w:color w:val="8ed973" w:themeColor="accent6" w:themeTint="98"/>
      </w:rPr>
    </w:tblStylePr>
    <w:tblStylePr w:type="band1Vert">
      <w:tblPr/>
      <w:tcPr>
        <w:shd w:val="clear" w:color="cfefc3" w:themeColor="accent6" w:themeTint="40" w:fill="cfefc3" w:themeFill="accent6" w:themeFillTint="40"/>
      </w:tcPr>
    </w:tblStylePr>
    <w:tblStylePr w:type="band1Horz">
      <w:rPr>
        <w:rFonts w:ascii="Arial" w:hAnsi="Arial"/>
        <w:color w:val="8ed973" w:themeColor="accent6" w:themeTint="98"/>
        <w:sz w:val="22"/>
      </w:rPr>
      <w:tblPr/>
      <w:tcPr>
        <w:shd w:val="clear" w:color="cfefc3" w:themeColor="accent6" w:themeTint="40" w:fill="cfefc3" w:themeFill="accent6" w:themeFillTint="40"/>
      </w:tcPr>
    </w:tblStylePr>
    <w:tblStylePr w:type="band2Horz">
      <w:rPr>
        <w:rFonts w:ascii="Arial" w:hAnsi="Arial"/>
        <w:color w:val="8ed973" w:themeColor="accent6" w:themeTint="98"/>
        <w:sz w:val="22"/>
      </w:rPr>
    </w:tblStylePr>
  </w:style>
  <w:style w:type="table" w:styleId="ListTable7Colorful">
    <w:name w:val="List Table 7 Colorful"/>
    <w:basedOn w:val="NormalTable"/>
    <w:uiPriority w:val="99"/>
    <w:pPr>
      <w:spacing w:after="0" w:line="240" w:lineRule="auto"/>
    </w:pPr>
    <w:tblPr>
      <w:tblStyleRowBandSize w:val="1"/>
      <w:tblStyleColBandSize w:val="1"/>
      <w:tblBorders>
        <w:right w:val="single" w:color="7f7f7f" w:themeColor="text1" w:themeTint="80" w:sz="4" w:space="0"/>
      </w:tblBorders>
    </w:tblPr>
    <w:tblStylePr w:type="firstRow">
      <w:rPr>
        <w:rFonts w:ascii="Arial" w:hAnsi="Arial"/>
        <w:i/>
        <w:color w:val="7f7f7f" w:themeColor="text1" w:themeTint="80"/>
        <w:sz w:val="22"/>
      </w:rPr>
      <w:tblPr/>
      <w:tcPr>
        <w:tcBorders>
          <w:top w:val="none" w:sz="4" w:space="0"/>
          <w:left w:val="none" w:sz="4" w:space="0"/>
          <w:bottom w:val="single" w:color="7f7f7f" w:themeColor="text1" w:themeTint="80" w:sz="4" w:space="0"/>
          <w:right w:val="none" w:sz="4" w:space="0"/>
        </w:tcBorders>
        <w:shd w:val="clear" w:color="ffffff" w:themeColor="light1" w:fill="ffffff" w:themeFill="light1"/>
      </w:tcPr>
    </w:tblStylePr>
    <w:tblStylePr w:type="lastRow">
      <w:rPr>
        <w:rFonts w:ascii="Arial" w:hAnsi="Arial"/>
        <w:i/>
        <w:color w:val="7f7f7f" w:themeColor="text1" w:themeTint="80"/>
        <w:sz w:val="22"/>
      </w:rPr>
      <w:tblPr/>
      <w:tcPr>
        <w:tcBorders>
          <w:top w:val="single" w:color="7f7f7f" w:themeColor="text1" w:themeTint="80" w:sz="4" w:space="0"/>
          <w:left w:val="none" w:sz="4" w:space="0"/>
          <w:bottom w:val="none" w:sz="4" w:space="0"/>
          <w:right w:val="none" w:sz="4" w:space="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left w:val="none" w:sz="4" w:space="0"/>
          <w:bottom w:val="none" w:sz="4" w:space="0"/>
          <w:right w:val="single" w:color="7f7f7f" w:themeColor="text1" w:themeTint="80" w:sz="4" w:space="0"/>
        </w:tcBorders>
        <w:shd w:val="clear" w:color="ffffff" w:fill="auto"/>
      </w:tcPr>
    </w:tblStylePr>
    <w:tblStylePr w:type="lastCol">
      <w:rPr>
        <w:rFonts w:ascii="Arial" w:hAnsi="Arial"/>
        <w:i/>
        <w:color w:val="7f7f7f" w:themeColor="text1" w:themeTint="80"/>
        <w:sz w:val="22"/>
      </w:rPr>
      <w:tblPr/>
      <w:tcPr>
        <w:tcBorders>
          <w:top w:val="none" w:sz="4" w:space="0"/>
          <w:left w:val="single" w:color="7f7f7f" w:themeColor="text1" w:themeTint="80" w:sz="4" w:space="0"/>
          <w:bottom w:val="none" w:sz="4" w:space="0"/>
          <w:right w:val="none" w:sz="4" w:space="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NormalTable"/>
    <w:uiPriority w:val="99"/>
    <w:pPr>
      <w:spacing w:after="0" w:line="240" w:lineRule="auto"/>
    </w:pPr>
    <w:tblPr>
      <w:tblStyleRowBandSize w:val="1"/>
      <w:tblStyleColBandSize w:val="1"/>
      <w:tblBorders>
        <w:right w:val="single" w:color="156082" w:themeColor="accent1" w:sz="4" w:space="0"/>
      </w:tblBorders>
    </w:tblPr>
    <w:tblStylePr w:type="firstRow">
      <w:rPr>
        <w:rFonts w:ascii="Arial" w:hAnsi="Arial"/>
        <w:i/>
        <w:color w:val="0c374a" w:themeColor="accent1" w:themeShade="95"/>
        <w:sz w:val="22"/>
      </w:rPr>
      <w:tblPr/>
      <w:tcPr>
        <w:tcBorders>
          <w:top w:val="none" w:sz="4" w:space="0"/>
          <w:left w:val="none" w:sz="4" w:space="0"/>
          <w:bottom w:val="single" w:color="156082" w:themeColor="accent1" w:sz="4" w:space="0"/>
          <w:right w:val="none" w:sz="4" w:space="0"/>
        </w:tcBorders>
        <w:shd w:val="clear" w:color="ffffff" w:themeColor="light1" w:fill="ffffff" w:themeFill="light1"/>
      </w:tcPr>
    </w:tblStylePr>
    <w:tblStylePr w:type="lastRow">
      <w:rPr>
        <w:rFonts w:ascii="Arial" w:hAnsi="Arial"/>
        <w:i/>
        <w:color w:val="0c374a" w:themeColor="accent1" w:themeShade="95"/>
        <w:sz w:val="22"/>
      </w:rPr>
      <w:tblPr/>
      <w:tcPr>
        <w:tcBorders>
          <w:top w:val="single" w:color="156082" w:themeColor="accent1" w:sz="4" w:space="0"/>
          <w:left w:val="none" w:sz="4" w:space="0"/>
          <w:bottom w:val="none" w:sz="4" w:space="0"/>
          <w:right w:val="none" w:sz="4" w:space="0"/>
        </w:tcBorders>
        <w:shd w:val="clear" w:color="ffffff" w:themeColor="light1" w:fill="ffffff" w:themeFill="light1"/>
      </w:tcPr>
    </w:tblStylePr>
    <w:tblStylePr w:type="firstCol">
      <w:pPr>
        <w:jc w:val="right"/>
      </w:pPr>
      <w:rPr>
        <w:rFonts w:ascii="Arial" w:hAnsi="Arial"/>
        <w:i/>
        <w:color w:val="0c374a" w:themeColor="accent1" w:themeShade="95"/>
        <w:sz w:val="22"/>
      </w:rPr>
      <w:tblPr/>
      <w:tcPr>
        <w:tcBorders>
          <w:top w:val="none" w:sz="4" w:space="0"/>
          <w:left w:val="none" w:sz="4" w:space="0"/>
          <w:bottom w:val="none" w:sz="4" w:space="0"/>
          <w:right w:val="single" w:color="156082" w:themeColor="accent1" w:sz="4" w:space="0"/>
        </w:tcBorders>
        <w:shd w:val="clear" w:color="ffffff" w:fill="auto"/>
      </w:tcPr>
    </w:tblStylePr>
    <w:tblStylePr w:type="lastCol">
      <w:rPr>
        <w:rFonts w:ascii="Arial" w:hAnsi="Arial"/>
        <w:i/>
        <w:color w:val="0c374a" w:themeColor="accent1" w:themeShade="95"/>
        <w:sz w:val="22"/>
      </w:rPr>
      <w:tblPr/>
      <w:tcPr>
        <w:tcBorders>
          <w:top w:val="none" w:sz="4" w:space="0"/>
          <w:left w:val="single" w:color="156082" w:themeColor="accent1" w:sz="4" w:space="0"/>
          <w:bottom w:val="none" w:sz="4" w:space="0"/>
          <w:right w:val="none" w:sz="4" w:space="0"/>
        </w:tcBorders>
        <w:shd w:val="clear" w:color="ffffff" w:fill="auto"/>
      </w:tcPr>
    </w:tblStylePr>
    <w:tblStylePr w:type="band1Vert">
      <w:tblPr/>
      <w:tcPr>
        <w:shd w:val="clear" w:color="b0def2" w:themeColor="accent1" w:themeTint="40" w:fill="b0def2" w:themeFill="accent1" w:themeFillTint="40"/>
      </w:tcPr>
    </w:tblStylePr>
    <w:tblStylePr w:type="band1Horz">
      <w:rPr>
        <w:rFonts w:ascii="Arial" w:hAnsi="Arial"/>
        <w:color w:val="0c374a" w:themeColor="accent1" w:themeShade="95"/>
        <w:sz w:val="22"/>
      </w:rPr>
      <w:tblPr/>
      <w:tcPr>
        <w:shd w:val="clear" w:color="b0def2" w:themeColor="accent1" w:themeTint="40" w:fill="b0def2" w:themeFill="accent1" w:themeFillTint="40"/>
      </w:tcPr>
    </w:tblStylePr>
    <w:tblStylePr w:type="band2Horz">
      <w:rPr>
        <w:rFonts w:ascii="Arial" w:hAnsi="Arial"/>
        <w:color w:val="0c374a" w:themeColor="accent1" w:themeShade="95"/>
        <w:sz w:val="22"/>
      </w:rPr>
    </w:tblStylePr>
  </w:style>
  <w:style w:type="table" w:customStyle="1" w:styleId="ListTable7Colorful-Accent2">
    <w:name w:val="List Table 7 Colorful - Accent 2"/>
    <w:basedOn w:val="NormalTable"/>
    <w:uiPriority w:val="99"/>
    <w:pPr>
      <w:spacing w:after="0" w:line="240" w:lineRule="auto"/>
    </w:pPr>
    <w:tblPr>
      <w:tblStyleRowBandSize w:val="1"/>
      <w:tblStyleColBandSize w:val="1"/>
      <w:tblBorders>
        <w:right w:val="single" w:color="f2a984" w:themeColor="accent2" w:themeTint="97" w:sz="4" w:space="0"/>
      </w:tblBorders>
    </w:tblPr>
    <w:tblStylePr w:type="firstRow">
      <w:rPr>
        <w:rFonts w:ascii="Arial" w:hAnsi="Arial"/>
        <w:i/>
        <w:color w:val="f2a984" w:themeColor="accent2" w:themeTint="97"/>
        <w:sz w:val="22"/>
      </w:rPr>
      <w:tblPr/>
      <w:tcPr>
        <w:tcBorders>
          <w:top w:val="none" w:sz="4" w:space="0"/>
          <w:left w:val="none" w:sz="4" w:space="0"/>
          <w:bottom w:val="single" w:color="f2a984" w:themeColor="accent2" w:themeTint="97" w:sz="4" w:space="0"/>
          <w:right w:val="none" w:sz="4" w:space="0"/>
        </w:tcBorders>
        <w:shd w:val="clear" w:color="ffffff" w:themeColor="light1" w:fill="ffffff" w:themeFill="light1"/>
      </w:tcPr>
    </w:tblStylePr>
    <w:tblStylePr w:type="lastRow">
      <w:rPr>
        <w:rFonts w:ascii="Arial" w:hAnsi="Arial"/>
        <w:i/>
        <w:color w:val="f2a984" w:themeColor="accent2" w:themeTint="97"/>
        <w:sz w:val="22"/>
      </w:rPr>
      <w:tblPr/>
      <w:tcPr>
        <w:tcBorders>
          <w:top w:val="single" w:color="f2a984" w:themeColor="accent2" w:themeTint="97" w:sz="4" w:space="0"/>
          <w:left w:val="none" w:sz="4" w:space="0"/>
          <w:bottom w:val="none" w:sz="4" w:space="0"/>
          <w:right w:val="none" w:sz="4" w:space="0"/>
        </w:tcBorders>
        <w:shd w:val="clear" w:color="ffffff" w:themeColor="light1" w:fill="ffffff" w:themeFill="light1"/>
      </w:tcPr>
    </w:tblStylePr>
    <w:tblStylePr w:type="firstCol">
      <w:pPr>
        <w:jc w:val="right"/>
      </w:pPr>
      <w:rPr>
        <w:rFonts w:ascii="Arial" w:hAnsi="Arial"/>
        <w:i/>
        <w:color w:val="f2a984" w:themeColor="accent2" w:themeTint="97"/>
        <w:sz w:val="22"/>
      </w:rPr>
      <w:tblPr/>
      <w:tcPr>
        <w:tcBorders>
          <w:top w:val="none" w:sz="4" w:space="0"/>
          <w:left w:val="none" w:sz="4" w:space="0"/>
          <w:bottom w:val="none" w:sz="4" w:space="0"/>
          <w:right w:val="single" w:color="f2a984" w:themeColor="accent2" w:themeTint="97" w:sz="4" w:space="0"/>
        </w:tcBorders>
        <w:shd w:val="clear" w:color="ffffff" w:fill="auto"/>
      </w:tcPr>
    </w:tblStylePr>
    <w:tblStylePr w:type="lastCol">
      <w:rPr>
        <w:rFonts w:ascii="Arial" w:hAnsi="Arial"/>
        <w:i/>
        <w:color w:val="f2a984" w:themeColor="accent2" w:themeTint="97"/>
        <w:sz w:val="22"/>
      </w:rPr>
      <w:tblPr/>
      <w:tcPr>
        <w:tcBorders>
          <w:top w:val="none" w:sz="4" w:space="0"/>
          <w:left w:val="single" w:color="f2a984" w:themeColor="accent2" w:themeTint="97" w:sz="4" w:space="0"/>
          <w:bottom w:val="none" w:sz="4" w:space="0"/>
          <w:right w:val="none" w:sz="4" w:space="0"/>
        </w:tcBorders>
        <w:shd w:val="clear" w:color="ffffff" w:fill="auto"/>
      </w:tcPr>
    </w:tblStylePr>
    <w:tblStylePr w:type="band1Vert">
      <w:tblPr/>
      <w:tcPr>
        <w:shd w:val="clear" w:color="f9dacb" w:themeColor="accent2" w:themeTint="40" w:fill="f9dacb" w:themeFill="accent2" w:themeFillTint="40"/>
      </w:tcPr>
    </w:tblStylePr>
    <w:tblStylePr w:type="band1Horz">
      <w:rPr>
        <w:rFonts w:ascii="Arial" w:hAnsi="Arial"/>
        <w:color w:val="f2a984" w:themeColor="accent2" w:themeTint="97"/>
        <w:sz w:val="22"/>
      </w:rPr>
      <w:tblPr/>
      <w:tcPr>
        <w:shd w:val="clear" w:color="f9dacb" w:themeColor="accent2" w:themeTint="40" w:fill="f9dacb" w:themeFill="accent2" w:themeFillTint="40"/>
      </w:tcPr>
    </w:tblStylePr>
    <w:tblStylePr w:type="band2Horz">
      <w:rPr>
        <w:rFonts w:ascii="Arial" w:hAnsi="Arial"/>
        <w:color w:val="f2a984" w:themeColor="accent2" w:themeTint="97"/>
        <w:sz w:val="22"/>
      </w:rPr>
    </w:tblStylePr>
  </w:style>
  <w:style w:type="table" w:customStyle="1" w:styleId="ListTable7Colorful-Accent3">
    <w:name w:val="List Table 7 Colorful - Accent 3"/>
    <w:basedOn w:val="NormalTable"/>
    <w:uiPriority w:val="99"/>
    <w:pPr>
      <w:spacing w:after="0" w:line="240" w:lineRule="auto"/>
    </w:pPr>
    <w:tblPr>
      <w:tblStyleRowBandSize w:val="1"/>
      <w:tblStyleColBandSize w:val="1"/>
      <w:tblBorders>
        <w:right w:val="single" w:color="48d45c" w:themeColor="accent3" w:themeTint="98" w:sz="4" w:space="0"/>
      </w:tblBorders>
    </w:tblPr>
    <w:tblStylePr w:type="firstRow">
      <w:rPr>
        <w:rFonts w:ascii="Arial" w:hAnsi="Arial"/>
        <w:i/>
        <w:color w:val="48d45c" w:themeColor="accent3" w:themeTint="98"/>
        <w:sz w:val="22"/>
      </w:rPr>
      <w:tblPr/>
      <w:tcPr>
        <w:tcBorders>
          <w:top w:val="none" w:sz="4" w:space="0"/>
          <w:left w:val="none" w:sz="4" w:space="0"/>
          <w:bottom w:val="single" w:color="48d45c" w:themeColor="accent3" w:themeTint="98" w:sz="4" w:space="0"/>
          <w:right w:val="none" w:sz="4" w:space="0"/>
        </w:tcBorders>
        <w:shd w:val="clear" w:color="ffffff" w:themeColor="light1" w:fill="ffffff" w:themeFill="light1"/>
      </w:tcPr>
    </w:tblStylePr>
    <w:tblStylePr w:type="lastRow">
      <w:rPr>
        <w:rFonts w:ascii="Arial" w:hAnsi="Arial"/>
        <w:i/>
        <w:color w:val="48d45c" w:themeColor="accent3" w:themeTint="98"/>
        <w:sz w:val="22"/>
      </w:rPr>
      <w:tblPr/>
      <w:tcPr>
        <w:tcBorders>
          <w:top w:val="single" w:color="48d45c" w:themeColor="accent3" w:themeTint="98" w:sz="4" w:space="0"/>
          <w:left w:val="none" w:sz="4" w:space="0"/>
          <w:bottom w:val="none" w:sz="4" w:space="0"/>
          <w:right w:val="none" w:sz="4" w:space="0"/>
        </w:tcBorders>
        <w:shd w:val="clear" w:color="ffffff" w:themeColor="light1" w:fill="ffffff" w:themeFill="light1"/>
      </w:tcPr>
    </w:tblStylePr>
    <w:tblStylePr w:type="firstCol">
      <w:pPr>
        <w:jc w:val="right"/>
      </w:pPr>
      <w:rPr>
        <w:rFonts w:ascii="Arial" w:hAnsi="Arial"/>
        <w:i/>
        <w:color w:val="48d45c" w:themeColor="accent3" w:themeTint="98"/>
        <w:sz w:val="22"/>
      </w:rPr>
      <w:tblPr/>
      <w:tcPr>
        <w:tcBorders>
          <w:top w:val="none" w:sz="4" w:space="0"/>
          <w:left w:val="none" w:sz="4" w:space="0"/>
          <w:bottom w:val="none" w:sz="4" w:space="0"/>
          <w:right w:val="single" w:color="48d45c" w:themeColor="accent3" w:themeTint="98" w:sz="4" w:space="0"/>
        </w:tcBorders>
        <w:shd w:val="clear" w:color="ffffff" w:fill="auto"/>
      </w:tcPr>
    </w:tblStylePr>
    <w:tblStylePr w:type="lastCol">
      <w:rPr>
        <w:rFonts w:ascii="Arial" w:hAnsi="Arial"/>
        <w:i/>
        <w:color w:val="48d45c" w:themeColor="accent3" w:themeTint="98"/>
        <w:sz w:val="22"/>
      </w:rPr>
      <w:tblPr/>
      <w:tcPr>
        <w:tcBorders>
          <w:top w:val="none" w:sz="4" w:space="0"/>
          <w:left w:val="single" w:color="48d45c" w:themeColor="accent3" w:themeTint="98" w:sz="4" w:space="0"/>
          <w:bottom w:val="none" w:sz="4" w:space="0"/>
          <w:right w:val="none" w:sz="4" w:space="0"/>
        </w:tcBorders>
        <w:shd w:val="clear" w:color="ffffff" w:fill="auto"/>
      </w:tcPr>
    </w:tblStylePr>
    <w:tblStylePr w:type="band1Vert">
      <w:tblPr/>
      <w:tcPr>
        <w:shd w:val="clear" w:color="b1edba" w:themeColor="accent3" w:themeTint="40" w:fill="b1edba" w:themeFill="accent3" w:themeFillTint="40"/>
      </w:tcPr>
    </w:tblStylePr>
    <w:tblStylePr w:type="band1Horz">
      <w:rPr>
        <w:rFonts w:ascii="Arial" w:hAnsi="Arial"/>
        <w:color w:val="48d45c" w:themeColor="accent3" w:themeTint="98"/>
        <w:sz w:val="22"/>
      </w:rPr>
      <w:tblPr/>
      <w:tcPr>
        <w:shd w:val="clear" w:color="b1edba" w:themeColor="accent3" w:themeTint="40" w:fill="b1edba" w:themeFill="accent3" w:themeFillTint="40"/>
      </w:tcPr>
    </w:tblStylePr>
    <w:tblStylePr w:type="band2Horz">
      <w:rPr>
        <w:rFonts w:ascii="Arial" w:hAnsi="Arial"/>
        <w:color w:val="48d45c" w:themeColor="accent3" w:themeTint="98"/>
        <w:sz w:val="22"/>
      </w:rPr>
    </w:tblStylePr>
  </w:style>
  <w:style w:type="table" w:customStyle="1" w:styleId="ListTable7Colorful-Accent4">
    <w:name w:val="List Table 7 Colorful - Accent 4"/>
    <w:basedOn w:val="NormalTable"/>
    <w:uiPriority w:val="99"/>
    <w:pPr>
      <w:spacing w:after="0" w:line="240" w:lineRule="auto"/>
    </w:pPr>
    <w:tblPr>
      <w:tblStyleRowBandSize w:val="1"/>
      <w:tblStyleColBandSize w:val="1"/>
      <w:tblBorders>
        <w:right w:val="single" w:color="5ec9f4" w:themeColor="accent4" w:themeTint="9a" w:sz="4" w:space="0"/>
      </w:tblBorders>
    </w:tblPr>
    <w:tblStylePr w:type="firstRow">
      <w:rPr>
        <w:rFonts w:ascii="Arial" w:hAnsi="Arial"/>
        <w:i/>
        <w:color w:val="5ec9f4" w:themeColor="accent4" w:themeTint="9a"/>
        <w:sz w:val="22"/>
      </w:rPr>
      <w:tblPr/>
      <w:tcPr>
        <w:tcBorders>
          <w:top w:val="none" w:sz="4" w:space="0"/>
          <w:left w:val="none" w:sz="4" w:space="0"/>
          <w:bottom w:val="single" w:color="5ec9f4" w:themeColor="accent4" w:themeTint="9a" w:sz="4" w:space="0"/>
          <w:right w:val="none" w:sz="4" w:space="0"/>
        </w:tcBorders>
        <w:shd w:val="clear" w:color="ffffff" w:themeColor="light1" w:fill="ffffff" w:themeFill="light1"/>
      </w:tcPr>
    </w:tblStylePr>
    <w:tblStylePr w:type="lastRow">
      <w:rPr>
        <w:rFonts w:ascii="Arial" w:hAnsi="Arial"/>
        <w:i/>
        <w:color w:val="5ec9f4" w:themeColor="accent4" w:themeTint="9a"/>
        <w:sz w:val="22"/>
      </w:rPr>
      <w:tblPr/>
      <w:tcPr>
        <w:tcBorders>
          <w:top w:val="single" w:color="5ec9f4" w:themeColor="accent4" w:themeTint="9a" w:sz="4" w:space="0"/>
          <w:left w:val="none" w:sz="4" w:space="0"/>
          <w:bottom w:val="none" w:sz="4" w:space="0"/>
          <w:right w:val="none" w:sz="4" w:space="0"/>
        </w:tcBorders>
        <w:shd w:val="clear" w:color="ffffff" w:themeColor="light1" w:fill="ffffff" w:themeFill="light1"/>
      </w:tcPr>
    </w:tblStylePr>
    <w:tblStylePr w:type="firstCol">
      <w:pPr>
        <w:jc w:val="right"/>
      </w:pPr>
      <w:rPr>
        <w:rFonts w:ascii="Arial" w:hAnsi="Arial"/>
        <w:i/>
        <w:color w:val="5ec9f4" w:themeColor="accent4" w:themeTint="9a"/>
        <w:sz w:val="22"/>
      </w:rPr>
      <w:tblPr/>
      <w:tcPr>
        <w:tcBorders>
          <w:top w:val="none" w:sz="4" w:space="0"/>
          <w:left w:val="none" w:sz="4" w:space="0"/>
          <w:bottom w:val="none" w:sz="4" w:space="0"/>
          <w:right w:val="single" w:color="5ec9f4" w:themeColor="accent4" w:themeTint="9a" w:sz="4" w:space="0"/>
        </w:tcBorders>
        <w:shd w:val="clear" w:color="ffffff" w:fill="auto"/>
      </w:tcPr>
    </w:tblStylePr>
    <w:tblStylePr w:type="lastCol">
      <w:rPr>
        <w:rFonts w:ascii="Arial" w:hAnsi="Arial"/>
        <w:i/>
        <w:color w:val="5ec9f4" w:themeColor="accent4" w:themeTint="9a"/>
        <w:sz w:val="22"/>
      </w:rPr>
      <w:tblPr/>
      <w:tcPr>
        <w:tcBorders>
          <w:top w:val="none" w:sz="4" w:space="0"/>
          <w:left w:val="single" w:color="5ec9f4" w:themeColor="accent4" w:themeTint="9a" w:sz="4" w:space="0"/>
          <w:bottom w:val="none" w:sz="4" w:space="0"/>
          <w:right w:val="none" w:sz="4" w:space="0"/>
        </w:tcBorders>
        <w:shd w:val="clear" w:color="ffffff" w:fill="auto"/>
      </w:tcPr>
    </w:tblStylePr>
    <w:tblStylePr w:type="band1Vert">
      <w:tblPr/>
      <w:tcPr>
        <w:shd w:val="clear" w:color="bce8fa" w:themeColor="accent4" w:themeTint="40" w:fill="bce8fa" w:themeFill="accent4" w:themeFillTint="40"/>
      </w:tcPr>
    </w:tblStylePr>
    <w:tblStylePr w:type="band1Horz">
      <w:rPr>
        <w:rFonts w:ascii="Arial" w:hAnsi="Arial"/>
        <w:color w:val="5ec9f4" w:themeColor="accent4" w:themeTint="9a"/>
        <w:sz w:val="22"/>
      </w:rPr>
      <w:tblPr/>
      <w:tcPr>
        <w:shd w:val="clear" w:color="bce8fa" w:themeColor="accent4" w:themeTint="40" w:fill="bce8fa" w:themeFill="accent4" w:themeFillTint="40"/>
      </w:tcPr>
    </w:tblStylePr>
    <w:tblStylePr w:type="band2Horz">
      <w:rPr>
        <w:rFonts w:ascii="Arial" w:hAnsi="Arial"/>
        <w:color w:val="5ec9f4" w:themeColor="accent4" w:themeTint="9a"/>
        <w:sz w:val="22"/>
      </w:rPr>
    </w:tblStylePr>
  </w:style>
  <w:style w:type="table" w:customStyle="1" w:styleId="ListTable7Colorful-Accent5">
    <w:name w:val="List Table 7 Colorful - Accent 5"/>
    <w:basedOn w:val="NormalTable"/>
    <w:uiPriority w:val="99"/>
    <w:pPr>
      <w:spacing w:after="0" w:line="240" w:lineRule="auto"/>
    </w:pPr>
    <w:tblPr>
      <w:tblStyleRowBandSize w:val="1"/>
      <w:tblStyleColBandSize w:val="1"/>
      <w:tblBorders>
        <w:right w:val="single" w:color="d76bca" w:themeColor="accent5" w:themeTint="9a" w:sz="4" w:space="0"/>
      </w:tblBorders>
    </w:tblPr>
    <w:tblStylePr w:type="firstRow">
      <w:rPr>
        <w:rFonts w:ascii="Arial" w:hAnsi="Arial"/>
        <w:i/>
        <w:color w:val="d76bca" w:themeColor="accent5" w:themeTint="9a"/>
        <w:sz w:val="22"/>
      </w:rPr>
      <w:tblPr/>
      <w:tcPr>
        <w:tcBorders>
          <w:top w:val="none" w:sz="4" w:space="0"/>
          <w:left w:val="none" w:sz="4" w:space="0"/>
          <w:bottom w:val="single" w:color="d76bca" w:themeColor="accent5" w:themeTint="9a" w:sz="4" w:space="0"/>
          <w:right w:val="none" w:sz="4" w:space="0"/>
        </w:tcBorders>
        <w:shd w:val="clear" w:color="ffffff" w:themeColor="light1" w:fill="ffffff" w:themeFill="light1"/>
      </w:tcPr>
    </w:tblStylePr>
    <w:tblStylePr w:type="lastRow">
      <w:rPr>
        <w:rFonts w:ascii="Arial" w:hAnsi="Arial"/>
        <w:i/>
        <w:color w:val="d76bca" w:themeColor="accent5" w:themeTint="9a"/>
        <w:sz w:val="22"/>
      </w:rPr>
      <w:tblPr/>
      <w:tcPr>
        <w:tcBorders>
          <w:top w:val="single" w:color="d76bca" w:themeColor="accent5" w:themeTint="9a" w:sz="4" w:space="0"/>
          <w:left w:val="none" w:sz="4" w:space="0"/>
          <w:bottom w:val="none" w:sz="4" w:space="0"/>
          <w:right w:val="none" w:sz="4" w:space="0"/>
        </w:tcBorders>
        <w:shd w:val="clear" w:color="ffffff" w:themeColor="light1" w:fill="ffffff" w:themeFill="light1"/>
      </w:tcPr>
    </w:tblStylePr>
    <w:tblStylePr w:type="firstCol">
      <w:pPr>
        <w:jc w:val="right"/>
      </w:pPr>
      <w:rPr>
        <w:rFonts w:ascii="Arial" w:hAnsi="Arial"/>
        <w:i/>
        <w:color w:val="d76bca" w:themeColor="accent5" w:themeTint="9a"/>
        <w:sz w:val="22"/>
      </w:rPr>
      <w:tblPr/>
      <w:tcPr>
        <w:tcBorders>
          <w:top w:val="none" w:sz="4" w:space="0"/>
          <w:left w:val="none" w:sz="4" w:space="0"/>
          <w:bottom w:val="none" w:sz="4" w:space="0"/>
          <w:right w:val="single" w:color="d76bca" w:themeColor="accent5" w:themeTint="9a" w:sz="4" w:space="0"/>
        </w:tcBorders>
        <w:shd w:val="clear" w:color="ffffff" w:fill="auto"/>
      </w:tcPr>
    </w:tblStylePr>
    <w:tblStylePr w:type="lastCol">
      <w:rPr>
        <w:rFonts w:ascii="Arial" w:hAnsi="Arial"/>
        <w:i/>
        <w:color w:val="d76bca" w:themeColor="accent5" w:themeTint="9a"/>
        <w:sz w:val="22"/>
      </w:rPr>
      <w:tblPr/>
      <w:tcPr>
        <w:tcBorders>
          <w:top w:val="none" w:sz="4" w:space="0"/>
          <w:left w:val="single" w:color="d76bca" w:themeColor="accent5" w:themeTint="9a" w:sz="4" w:space="0"/>
          <w:bottom w:val="none" w:sz="4" w:space="0"/>
          <w:right w:val="none" w:sz="4" w:space="0"/>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bca" w:themeColor="accent5" w:themeTint="9a"/>
        <w:sz w:val="22"/>
      </w:rPr>
      <w:tblPr/>
      <w:tcPr>
        <w:shd w:val="clear" w:color="eec2e9" w:themeColor="accent5" w:themeTint="40" w:fill="eec2e9" w:themeFill="accent5" w:themeFillTint="40"/>
      </w:tcPr>
    </w:tblStylePr>
    <w:tblStylePr w:type="band2Horz">
      <w:rPr>
        <w:rFonts w:ascii="Arial" w:hAnsi="Arial"/>
        <w:color w:val="d76bca" w:themeColor="accent5" w:themeTint="9a"/>
        <w:sz w:val="22"/>
      </w:rPr>
    </w:tblStylePr>
  </w:style>
  <w:style w:type="table" w:customStyle="1" w:styleId="ListTable7Colorful-Accent6">
    <w:name w:val="List Table 7 Colorful - Accent 6"/>
    <w:basedOn w:val="NormalTable"/>
    <w:uiPriority w:val="99"/>
    <w:pPr>
      <w:spacing w:after="0" w:line="240" w:lineRule="auto"/>
    </w:pPr>
    <w:tblPr>
      <w:tblStyleRowBandSize w:val="1"/>
      <w:tblStyleColBandSize w:val="1"/>
      <w:tblBorders>
        <w:right w:val="single" w:color="8ed973" w:themeColor="accent6" w:themeTint="98" w:sz="4" w:space="0"/>
      </w:tblBorders>
    </w:tblPr>
    <w:tblStylePr w:type="firstRow">
      <w:rPr>
        <w:rFonts w:ascii="Arial" w:hAnsi="Arial"/>
        <w:i/>
        <w:color w:val="8ed973" w:themeColor="accent6" w:themeTint="98"/>
        <w:sz w:val="22"/>
      </w:rPr>
      <w:tblPr/>
      <w:tcPr>
        <w:tcBorders>
          <w:top w:val="none" w:sz="4" w:space="0"/>
          <w:left w:val="none" w:sz="4" w:space="0"/>
          <w:bottom w:val="single" w:color="8ed973" w:themeColor="accent6" w:themeTint="98" w:sz="4" w:space="0"/>
          <w:right w:val="none" w:sz="4" w:space="0"/>
        </w:tcBorders>
        <w:shd w:val="clear" w:color="ffffff" w:themeColor="light1" w:fill="ffffff" w:themeFill="light1"/>
      </w:tcPr>
    </w:tblStylePr>
    <w:tblStylePr w:type="lastRow">
      <w:rPr>
        <w:rFonts w:ascii="Arial" w:hAnsi="Arial"/>
        <w:i/>
        <w:color w:val="8ed973" w:themeColor="accent6" w:themeTint="98"/>
        <w:sz w:val="22"/>
      </w:rPr>
      <w:tblPr/>
      <w:tcPr>
        <w:tcBorders>
          <w:top w:val="single" w:color="8ed973" w:themeColor="accent6" w:themeTint="98" w:sz="4" w:space="0"/>
          <w:left w:val="none" w:sz="4" w:space="0"/>
          <w:bottom w:val="none" w:sz="4" w:space="0"/>
          <w:right w:val="none" w:sz="4" w:space="0"/>
        </w:tcBorders>
        <w:shd w:val="clear" w:color="ffffff" w:themeColor="light1" w:fill="ffffff" w:themeFill="light1"/>
      </w:tcPr>
    </w:tblStylePr>
    <w:tblStylePr w:type="firstCol">
      <w:pPr>
        <w:jc w:val="right"/>
      </w:pPr>
      <w:rPr>
        <w:rFonts w:ascii="Arial" w:hAnsi="Arial"/>
        <w:i/>
        <w:color w:val="8ed973" w:themeColor="accent6" w:themeTint="98"/>
        <w:sz w:val="22"/>
      </w:rPr>
      <w:tblPr/>
      <w:tcPr>
        <w:tcBorders>
          <w:top w:val="none" w:sz="4" w:space="0"/>
          <w:left w:val="none" w:sz="4" w:space="0"/>
          <w:bottom w:val="none" w:sz="4" w:space="0"/>
          <w:right w:val="single" w:color="8ed973" w:themeColor="accent6" w:themeTint="98" w:sz="4" w:space="0"/>
        </w:tcBorders>
        <w:shd w:val="clear" w:color="ffffff" w:fill="auto"/>
      </w:tcPr>
    </w:tblStylePr>
    <w:tblStylePr w:type="lastCol">
      <w:rPr>
        <w:rFonts w:ascii="Arial" w:hAnsi="Arial"/>
        <w:i/>
        <w:color w:val="8ed973" w:themeColor="accent6" w:themeTint="98"/>
        <w:sz w:val="22"/>
      </w:rPr>
      <w:tblPr/>
      <w:tcPr>
        <w:tcBorders>
          <w:top w:val="none" w:sz="4" w:space="0"/>
          <w:left w:val="single" w:color="8ed973" w:themeColor="accent6" w:themeTint="98" w:sz="4" w:space="0"/>
          <w:bottom w:val="none" w:sz="4" w:space="0"/>
          <w:right w:val="none" w:sz="4" w:space="0"/>
        </w:tcBorders>
        <w:shd w:val="clear" w:color="ffffff" w:fill="auto"/>
      </w:tcPr>
    </w:tblStylePr>
    <w:tblStylePr w:type="band1Vert">
      <w:tblPr/>
      <w:tcPr>
        <w:shd w:val="clear" w:color="cfefc3" w:themeColor="accent6" w:themeTint="40" w:fill="cfefc3" w:themeFill="accent6" w:themeFillTint="40"/>
      </w:tcPr>
    </w:tblStylePr>
    <w:tblStylePr w:type="band1Horz">
      <w:rPr>
        <w:rFonts w:ascii="Arial" w:hAnsi="Arial"/>
        <w:color w:val="8ed973" w:themeColor="accent6" w:themeTint="98"/>
        <w:sz w:val="22"/>
      </w:rPr>
      <w:tblPr/>
      <w:tcPr>
        <w:shd w:val="clear" w:color="cfefc3" w:themeColor="accent6" w:themeTint="40" w:fill="cfefc3" w:themeFill="accent6" w:themeFillTint="40"/>
      </w:tcPr>
    </w:tblStylePr>
    <w:tblStylePr w:type="band2Horz">
      <w:rPr>
        <w:rFonts w:ascii="Arial" w:hAnsi="Arial"/>
        <w:color w:val="8ed973" w:themeColor="accent6" w:themeTint="98"/>
        <w:sz w:val="22"/>
      </w:rPr>
    </w:tblStylePr>
  </w:style>
  <w:style w:type="table" w:customStyle="1" w:styleId="Lined-Accent">
    <w:name w:val="Lined - Accent"/>
    <w:basedOn w:val="NormalTable"/>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Table"/>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197199" w:themeColor="accent1" w:themeTint="ea" w:fill="197199" w:themeFill="accent1" w:themeFillTint="ea"/>
      </w:tcPr>
    </w:tblStylePr>
    <w:tblStylePr w:type="lastRow">
      <w:rPr>
        <w:rFonts w:ascii="Arial" w:hAnsi="Arial"/>
        <w:color w:val="f2f2f2"/>
        <w:sz w:val="22"/>
      </w:rPr>
      <w:tblPr/>
      <w:tcPr>
        <w:shd w:val="clear" w:color="197199" w:themeColor="accent1" w:themeTint="ea" w:fill="197199" w:themeFill="accent1" w:themeFillTint="ea"/>
      </w:tcPr>
    </w:tblStylePr>
    <w:tblStylePr w:type="firstCol">
      <w:rPr>
        <w:rFonts w:ascii="Arial" w:hAnsi="Arial"/>
        <w:color w:val="f2f2f2"/>
        <w:sz w:val="22"/>
      </w:rPr>
      <w:tblPr/>
      <w:tcPr>
        <w:shd w:val="clear" w:color="197199" w:themeColor="accent1" w:themeTint="ea" w:fill="197199" w:themeFill="accent1" w:themeFillTint="ea"/>
      </w:tcPr>
    </w:tblStylePr>
    <w:tblStylePr w:type="lastCol">
      <w:rPr>
        <w:rFonts w:ascii="Arial" w:hAnsi="Arial"/>
        <w:color w:val="f2f2f2"/>
        <w:sz w:val="22"/>
      </w:rPr>
      <w:tblPr/>
      <w:tcPr>
        <w:shd w:val="clear" w:color="197199" w:themeColor="accent1" w:themeTint="ea" w:fill="197199"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dd6ef" w:themeColor="accent1" w:themeTint="50" w:fill="9dd6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dd6ef" w:themeColor="accent1" w:themeTint="50" w:fill="9dd6ef" w:themeFill="accent1" w:themeFillTint="50"/>
      </w:tcPr>
    </w:tblStylePr>
  </w:style>
  <w:style w:type="table" w:customStyle="1" w:styleId="Lined-Accent2">
    <w:name w:val="Lined - Accent 2"/>
    <w:basedOn w:val="NormalTable"/>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2a984" w:themeColor="accent2" w:themeTint="97" w:fill="f2a984" w:themeFill="accent2" w:themeFillTint="97"/>
      </w:tcPr>
    </w:tblStylePr>
    <w:tblStylePr w:type="lastRow">
      <w:rPr>
        <w:rFonts w:ascii="Arial" w:hAnsi="Arial"/>
        <w:color w:val="f2f2f2"/>
        <w:sz w:val="22"/>
      </w:rPr>
      <w:tblPr/>
      <w:tcPr>
        <w:shd w:val="clear" w:color="f2a984" w:themeColor="accent2" w:themeTint="97" w:fill="f2a984" w:themeFill="accent2" w:themeFillTint="97"/>
      </w:tcPr>
    </w:tblStylePr>
    <w:tblStylePr w:type="firstCol">
      <w:rPr>
        <w:rFonts w:ascii="Arial" w:hAnsi="Arial"/>
        <w:color w:val="f2f2f2"/>
        <w:sz w:val="22"/>
      </w:rPr>
      <w:tblPr/>
      <w:tcPr>
        <w:shd w:val="clear" w:color="f2a984" w:themeColor="accent2" w:themeTint="97" w:fill="f2a984" w:themeFill="accent2" w:themeFillTint="97"/>
      </w:tcPr>
    </w:tblStylePr>
    <w:tblStylePr w:type="lastCol">
      <w:rPr>
        <w:rFonts w:ascii="Arial" w:hAnsi="Arial"/>
        <w:color w:val="f2f2f2"/>
        <w:sz w:val="22"/>
      </w:rPr>
      <w:tblPr/>
      <w:tcPr>
        <w:shd w:val="clear" w:color="f2a984" w:themeColor="accent2" w:themeTint="97" w:fill="f2a9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2d5" w:themeColor="accent2" w:themeTint="32" w:fill="fbe2d5"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2d5" w:themeColor="accent2" w:themeTint="32" w:fill="fbe2d5" w:themeFill="accent2" w:themeFillTint="32"/>
      </w:tcPr>
    </w:tblStylePr>
  </w:style>
  <w:style w:type="table" w:customStyle="1" w:styleId="Lined-Accent3">
    <w:name w:val="Lined - Accent 3"/>
    <w:basedOn w:val="NormalTable"/>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196b25" w:themeColor="accent3" w:themeTint="fe" w:fill="196b25" w:themeFill="accent3" w:themeFillTint="fe"/>
      </w:tcPr>
    </w:tblStylePr>
    <w:tblStylePr w:type="lastRow">
      <w:rPr>
        <w:rFonts w:ascii="Arial" w:hAnsi="Arial"/>
        <w:color w:val="f2f2f2"/>
        <w:sz w:val="22"/>
      </w:rPr>
      <w:tblPr/>
      <w:tcPr>
        <w:shd w:val="clear" w:color="196b25" w:themeColor="accent3" w:themeTint="fe" w:fill="196b25" w:themeFill="accent3" w:themeFillTint="fe"/>
      </w:tcPr>
    </w:tblStylePr>
    <w:tblStylePr w:type="firstCol">
      <w:rPr>
        <w:rFonts w:ascii="Arial" w:hAnsi="Arial"/>
        <w:color w:val="f2f2f2"/>
        <w:sz w:val="22"/>
      </w:rPr>
      <w:tblPr/>
      <w:tcPr>
        <w:shd w:val="clear" w:color="196b25" w:themeColor="accent3" w:themeTint="fe" w:fill="196b25" w:themeFill="accent3" w:themeFillTint="fe"/>
      </w:tcPr>
    </w:tblStylePr>
    <w:tblStylePr w:type="lastCol">
      <w:rPr>
        <w:rFonts w:ascii="Arial" w:hAnsi="Arial"/>
        <w:color w:val="f2f2f2"/>
        <w:sz w:val="22"/>
      </w:rPr>
      <w:tblPr/>
      <w:tcPr>
        <w:shd w:val="clear" w:color="196b25" w:themeColor="accent3" w:themeTint="fe" w:fill="196b2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7" w:themeColor="accent3" w:themeTint="34" w:fill="c0f0c7"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7" w:themeColor="accent3" w:themeTint="34" w:fill="c0f0c7" w:themeFill="accent3" w:themeFillTint="34"/>
      </w:tcPr>
    </w:tblStylePr>
  </w:style>
  <w:style w:type="table" w:customStyle="1" w:styleId="Lined-Accent4">
    <w:name w:val="Lined - Accent 4"/>
    <w:basedOn w:val="NormalTable"/>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ec9f4" w:themeColor="accent4" w:themeTint="9a" w:fill="5ec9f4" w:themeFill="accent4" w:themeFillTint="9a"/>
      </w:tcPr>
    </w:tblStylePr>
    <w:tblStylePr w:type="lastRow">
      <w:rPr>
        <w:rFonts w:ascii="Arial" w:hAnsi="Arial"/>
        <w:color w:val="f2f2f2"/>
        <w:sz w:val="22"/>
      </w:rPr>
      <w:tblPr/>
      <w:tcPr>
        <w:shd w:val="clear" w:color="5ec9f4" w:themeColor="accent4" w:themeTint="9a" w:fill="5ec9f4" w:themeFill="accent4" w:themeFillTint="9a"/>
      </w:tcPr>
    </w:tblStylePr>
    <w:tblStylePr w:type="firstCol">
      <w:rPr>
        <w:rFonts w:ascii="Arial" w:hAnsi="Arial"/>
        <w:color w:val="f2f2f2"/>
        <w:sz w:val="22"/>
      </w:rPr>
      <w:tblPr/>
      <w:tcPr>
        <w:shd w:val="clear" w:color="5ec9f4" w:themeColor="accent4" w:themeTint="9a" w:fill="5ec9f4" w:themeFill="accent4" w:themeFillTint="9a"/>
      </w:tcPr>
    </w:tblStylePr>
    <w:tblStylePr w:type="lastCol">
      <w:rPr>
        <w:rFonts w:ascii="Arial" w:hAnsi="Arial"/>
        <w:color w:val="f2f2f2"/>
        <w:sz w:val="22"/>
      </w:rPr>
      <w:tblPr/>
      <w:tcPr>
        <w:shd w:val="clear" w:color="5ec9f4" w:themeColor="accent4" w:themeTint="9a" w:fill="5ec9f4"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NormalTable"/>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NormalTable"/>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7f2ce" w:themeColor="accent6" w:themeTint="34" w:fill="d7f2ce"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7f2ce" w:themeColor="accent6" w:themeTint="34" w:fill="d7f2ce" w:themeFill="accent6" w:themeFillTint="34"/>
      </w:tcPr>
    </w:tblStylePr>
  </w:style>
  <w:style w:type="table" w:customStyle="1" w:styleId="Bordered&amp;Lined-Accent">
    <w:name w:val="Bordered &amp; Lined - Accent"/>
    <w:basedOn w:val="NormalTable"/>
    <w:uiPriority w:val="99"/>
    <w:pPr>
      <w:spacing w:after="0" w:line="240" w:lineRule="auto"/>
    </w:pPr>
    <w:rPr>
      <w:color w:val="404040"/>
      <w:sz w:val="20"/>
      <w:szCs w:val="20"/>
      <w:lang w:eastAsia="ru-RU"/>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amp;Lined-Accent1">
    <w:name w:val="Bordered &amp; Lined - Accent 1"/>
    <w:basedOn w:val="NormalTable"/>
    <w:uiPriority w:val="99"/>
    <w:pPr>
      <w:spacing w:after="0" w:line="240" w:lineRule="auto"/>
    </w:pPr>
    <w:rPr>
      <w:color w:val="404040"/>
      <w:sz w:val="20"/>
      <w:szCs w:val="20"/>
      <w:lang w:eastAsia="ru-RU"/>
    </w:rPr>
    <w:tblPr>
      <w:tblStyleRowBandSize w:val="1"/>
      <w:tblStyleColBandSize w:val="1"/>
      <w:tblBorders>
        <w:top w:val="single" w:color="0c374a" w:themeColor="accent1" w:themeShade="95" w:sz="4" w:space="0"/>
        <w:left w:val="single" w:color="0c374a" w:themeColor="accent1" w:themeShade="95" w:sz="4" w:space="0"/>
        <w:bottom w:val="single" w:color="0c374a" w:themeColor="accent1" w:themeShade="95" w:sz="4" w:space="0"/>
        <w:right w:val="single" w:color="0c374a" w:themeColor="accent1" w:themeShade="95" w:sz="4" w:space="0"/>
        <w:insideH w:val="single" w:color="0c374a" w:themeColor="accent1" w:themeShade="95" w:sz="4" w:space="0"/>
        <w:insideV w:val="single" w:color="0c374a" w:themeColor="accent1" w:themeShade="95" w:sz="4" w:space="0"/>
      </w:tblBorders>
    </w:tblPr>
    <w:tblStylePr w:type="firstRow">
      <w:rPr>
        <w:rFonts w:ascii="Arial" w:hAnsi="Arial"/>
        <w:color w:val="f2f2f2"/>
        <w:sz w:val="22"/>
      </w:rPr>
      <w:tblPr/>
      <w:tcPr>
        <w:shd w:val="clear" w:color="197199" w:themeColor="accent1" w:themeTint="ea" w:fill="197199" w:themeFill="accent1" w:themeFillTint="ea"/>
      </w:tcPr>
    </w:tblStylePr>
    <w:tblStylePr w:type="lastRow">
      <w:rPr>
        <w:rFonts w:ascii="Arial" w:hAnsi="Arial"/>
        <w:color w:val="f2f2f2"/>
        <w:sz w:val="22"/>
      </w:rPr>
      <w:tblPr/>
      <w:tcPr>
        <w:shd w:val="clear" w:color="197199" w:themeColor="accent1" w:themeTint="ea" w:fill="197199" w:themeFill="accent1" w:themeFillTint="ea"/>
      </w:tcPr>
    </w:tblStylePr>
    <w:tblStylePr w:type="firstCol">
      <w:rPr>
        <w:rFonts w:ascii="Arial" w:hAnsi="Arial"/>
        <w:color w:val="f2f2f2"/>
        <w:sz w:val="22"/>
      </w:rPr>
      <w:tblPr/>
      <w:tcPr>
        <w:shd w:val="clear" w:color="197199" w:themeColor="accent1" w:themeTint="ea" w:fill="197199" w:themeFill="accent1" w:themeFillTint="ea"/>
      </w:tcPr>
    </w:tblStylePr>
    <w:tblStylePr w:type="lastCol">
      <w:rPr>
        <w:rFonts w:ascii="Arial" w:hAnsi="Arial"/>
        <w:color w:val="f2f2f2"/>
        <w:sz w:val="22"/>
      </w:rPr>
      <w:tblPr/>
      <w:tcPr>
        <w:shd w:val="clear" w:color="197199" w:themeColor="accent1" w:themeTint="ea" w:fill="197199"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dd6ef" w:themeColor="accent1" w:themeTint="50" w:fill="9dd6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dd6ef" w:themeColor="accent1" w:themeTint="50" w:fill="9dd6ef" w:themeFill="accent1" w:themeFillTint="50"/>
      </w:tcPr>
    </w:tblStylePr>
  </w:style>
  <w:style w:type="table" w:customStyle="1" w:styleId="Bordered&amp;Lined-Accent2">
    <w:name w:val="Bordered &amp; Lined - Accent 2"/>
    <w:basedOn w:val="NormalTable"/>
    <w:uiPriority w:val="99"/>
    <w:pPr>
      <w:spacing w:after="0" w:line="240" w:lineRule="auto"/>
    </w:pPr>
    <w:rPr>
      <w:color w:val="404040"/>
      <w:sz w:val="20"/>
      <w:szCs w:val="20"/>
      <w:lang w:eastAsia="ru-RU"/>
    </w:rPr>
    <w:tblPr>
      <w:tblStyleRowBandSize w:val="1"/>
      <w:tblStyleColBandSize w:val="1"/>
      <w:tblBorders>
        <w:top w:val="single" w:color="943c10" w:themeColor="accent2" w:themeShade="95" w:sz="4" w:space="0"/>
        <w:left w:val="single" w:color="943c10" w:themeColor="accent2" w:themeShade="95" w:sz="4" w:space="0"/>
        <w:bottom w:val="single" w:color="943c10" w:themeColor="accent2" w:themeShade="95" w:sz="4" w:space="0"/>
        <w:right w:val="single" w:color="943c10" w:themeColor="accent2" w:themeShade="95" w:sz="4" w:space="0"/>
        <w:insideH w:val="single" w:color="943c10" w:themeColor="accent2" w:themeShade="95" w:sz="4" w:space="0"/>
        <w:insideV w:val="single" w:color="943c10" w:themeColor="accent2" w:themeShade="95" w:sz="4" w:space="0"/>
      </w:tblBorders>
    </w:tblPr>
    <w:tblStylePr w:type="firstRow">
      <w:rPr>
        <w:rFonts w:ascii="Arial" w:hAnsi="Arial"/>
        <w:color w:val="f2f2f2"/>
        <w:sz w:val="22"/>
      </w:rPr>
      <w:tblPr/>
      <w:tcPr>
        <w:shd w:val="clear" w:color="f2a984" w:themeColor="accent2" w:themeTint="97" w:fill="f2a984" w:themeFill="accent2" w:themeFillTint="97"/>
      </w:tcPr>
    </w:tblStylePr>
    <w:tblStylePr w:type="lastRow">
      <w:rPr>
        <w:rFonts w:ascii="Arial" w:hAnsi="Arial"/>
        <w:color w:val="f2f2f2"/>
        <w:sz w:val="22"/>
      </w:rPr>
      <w:tblPr/>
      <w:tcPr>
        <w:shd w:val="clear" w:color="f2a984" w:themeColor="accent2" w:themeTint="97" w:fill="f2a984" w:themeFill="accent2" w:themeFillTint="97"/>
      </w:tcPr>
    </w:tblStylePr>
    <w:tblStylePr w:type="firstCol">
      <w:rPr>
        <w:rFonts w:ascii="Arial" w:hAnsi="Arial"/>
        <w:color w:val="f2f2f2"/>
        <w:sz w:val="22"/>
      </w:rPr>
      <w:tblPr/>
      <w:tcPr>
        <w:shd w:val="clear" w:color="f2a984" w:themeColor="accent2" w:themeTint="97" w:fill="f2a984" w:themeFill="accent2" w:themeFillTint="97"/>
      </w:tcPr>
    </w:tblStylePr>
    <w:tblStylePr w:type="lastCol">
      <w:rPr>
        <w:rFonts w:ascii="Arial" w:hAnsi="Arial"/>
        <w:color w:val="f2f2f2"/>
        <w:sz w:val="22"/>
      </w:rPr>
      <w:tblPr/>
      <w:tcPr>
        <w:shd w:val="clear" w:color="f2a984" w:themeColor="accent2" w:themeTint="97" w:fill="f2a9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2d5" w:themeColor="accent2" w:themeTint="32" w:fill="fbe2d5"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2d5" w:themeColor="accent2" w:themeTint="32" w:fill="fbe2d5" w:themeFill="accent2" w:themeFillTint="32"/>
      </w:tcPr>
    </w:tblStylePr>
  </w:style>
  <w:style w:type="table" w:customStyle="1" w:styleId="Bordered&amp;Lined-Accent3">
    <w:name w:val="Bordered &amp; Lined - Accent 3"/>
    <w:basedOn w:val="NormalTable"/>
    <w:uiPriority w:val="99"/>
    <w:pPr>
      <w:spacing w:after="0" w:line="240" w:lineRule="auto"/>
    </w:pPr>
    <w:rPr>
      <w:color w:val="404040"/>
      <w:sz w:val="20"/>
      <w:szCs w:val="20"/>
      <w:lang w:eastAsia="ru-RU"/>
    </w:rPr>
    <w:tblPr>
      <w:tblStyleRowBandSize w:val="1"/>
      <w:tblStyleColBandSize w:val="1"/>
      <w:tblBorders>
        <w:top w:val="single" w:color="0e3e15" w:themeColor="accent3" w:themeShade="95" w:sz="4" w:space="0"/>
        <w:left w:val="single" w:color="0e3e15" w:themeColor="accent3" w:themeShade="95" w:sz="4" w:space="0"/>
        <w:bottom w:val="single" w:color="0e3e15" w:themeColor="accent3" w:themeShade="95" w:sz="4" w:space="0"/>
        <w:right w:val="single" w:color="0e3e15" w:themeColor="accent3" w:themeShade="95" w:sz="4" w:space="0"/>
        <w:insideH w:val="single" w:color="0e3e15" w:themeColor="accent3" w:themeShade="95" w:sz="4" w:space="0"/>
        <w:insideV w:val="single" w:color="0e3e15" w:themeColor="accent3" w:themeShade="95" w:sz="4" w:space="0"/>
      </w:tblBorders>
    </w:tblPr>
    <w:tblStylePr w:type="firstRow">
      <w:rPr>
        <w:rFonts w:ascii="Arial" w:hAnsi="Arial"/>
        <w:color w:val="f2f2f2"/>
        <w:sz w:val="22"/>
      </w:rPr>
      <w:tblPr/>
      <w:tcPr>
        <w:shd w:val="clear" w:color="196b25" w:themeColor="accent3" w:themeTint="fe" w:fill="196b25" w:themeFill="accent3" w:themeFillTint="fe"/>
      </w:tcPr>
    </w:tblStylePr>
    <w:tblStylePr w:type="lastRow">
      <w:rPr>
        <w:rFonts w:ascii="Arial" w:hAnsi="Arial"/>
        <w:color w:val="f2f2f2"/>
        <w:sz w:val="22"/>
      </w:rPr>
      <w:tblPr/>
      <w:tcPr>
        <w:shd w:val="clear" w:color="196b25" w:themeColor="accent3" w:themeTint="fe" w:fill="196b25" w:themeFill="accent3" w:themeFillTint="fe"/>
      </w:tcPr>
    </w:tblStylePr>
    <w:tblStylePr w:type="firstCol">
      <w:rPr>
        <w:rFonts w:ascii="Arial" w:hAnsi="Arial"/>
        <w:color w:val="f2f2f2"/>
        <w:sz w:val="22"/>
      </w:rPr>
      <w:tblPr/>
      <w:tcPr>
        <w:shd w:val="clear" w:color="196b25" w:themeColor="accent3" w:themeTint="fe" w:fill="196b25" w:themeFill="accent3" w:themeFillTint="fe"/>
      </w:tcPr>
    </w:tblStylePr>
    <w:tblStylePr w:type="lastCol">
      <w:rPr>
        <w:rFonts w:ascii="Arial" w:hAnsi="Arial"/>
        <w:color w:val="f2f2f2"/>
        <w:sz w:val="22"/>
      </w:rPr>
      <w:tblPr/>
      <w:tcPr>
        <w:shd w:val="clear" w:color="196b25" w:themeColor="accent3" w:themeTint="fe" w:fill="196b2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7" w:themeColor="accent3" w:themeTint="34" w:fill="c0f0c7"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7" w:themeColor="accent3" w:themeTint="34" w:fill="c0f0c7" w:themeFill="accent3" w:themeFillTint="34"/>
      </w:tcPr>
    </w:tblStylePr>
  </w:style>
  <w:style w:type="table" w:customStyle="1" w:styleId="Bordered&amp;Lined-Accent4">
    <w:name w:val="Bordered &amp; Lined - Accent 4"/>
    <w:basedOn w:val="NormalTable"/>
    <w:uiPriority w:val="99"/>
    <w:pPr>
      <w:spacing w:after="0" w:line="240" w:lineRule="auto"/>
    </w:pPr>
    <w:rPr>
      <w:color w:val="404040"/>
      <w:sz w:val="20"/>
      <w:szCs w:val="20"/>
      <w:lang w:eastAsia="ru-RU"/>
    </w:rPr>
    <w:tblPr>
      <w:tblStyleRowBandSize w:val="1"/>
      <w:tblStyleColBandSize w:val="1"/>
      <w:tblBorders>
        <w:top w:val="single" w:color="095a7b" w:themeColor="accent4" w:themeShade="95" w:sz="4" w:space="0"/>
        <w:left w:val="single" w:color="095a7b" w:themeColor="accent4" w:themeShade="95" w:sz="4" w:space="0"/>
        <w:bottom w:val="single" w:color="095a7b" w:themeColor="accent4" w:themeShade="95" w:sz="4" w:space="0"/>
        <w:right w:val="single" w:color="095a7b" w:themeColor="accent4" w:themeShade="95" w:sz="4" w:space="0"/>
        <w:insideH w:val="single" w:color="095a7b" w:themeColor="accent4" w:themeShade="95" w:sz="4" w:space="0"/>
        <w:insideV w:val="single" w:color="095a7b" w:themeColor="accent4" w:themeShade="95" w:sz="4" w:space="0"/>
      </w:tblBorders>
    </w:tblPr>
    <w:tblStylePr w:type="firstRow">
      <w:rPr>
        <w:rFonts w:ascii="Arial" w:hAnsi="Arial"/>
        <w:color w:val="f2f2f2"/>
        <w:sz w:val="22"/>
      </w:rPr>
      <w:tblPr/>
      <w:tcPr>
        <w:shd w:val="clear" w:color="5ec9f4" w:themeColor="accent4" w:themeTint="9a" w:fill="5ec9f4" w:themeFill="accent4" w:themeFillTint="9a"/>
      </w:tcPr>
    </w:tblStylePr>
    <w:tblStylePr w:type="lastRow">
      <w:rPr>
        <w:rFonts w:ascii="Arial" w:hAnsi="Arial"/>
        <w:color w:val="f2f2f2"/>
        <w:sz w:val="22"/>
      </w:rPr>
      <w:tblPr/>
      <w:tcPr>
        <w:shd w:val="clear" w:color="5ec9f4" w:themeColor="accent4" w:themeTint="9a" w:fill="5ec9f4" w:themeFill="accent4" w:themeFillTint="9a"/>
      </w:tcPr>
    </w:tblStylePr>
    <w:tblStylePr w:type="firstCol">
      <w:rPr>
        <w:rFonts w:ascii="Arial" w:hAnsi="Arial"/>
        <w:color w:val="f2f2f2"/>
        <w:sz w:val="22"/>
      </w:rPr>
      <w:tblPr/>
      <w:tcPr>
        <w:shd w:val="clear" w:color="5ec9f4" w:themeColor="accent4" w:themeTint="9a" w:fill="5ec9f4" w:themeFill="accent4" w:themeFillTint="9a"/>
      </w:tcPr>
    </w:tblStylePr>
    <w:tblStylePr w:type="lastCol">
      <w:rPr>
        <w:rFonts w:ascii="Arial" w:hAnsi="Arial"/>
        <w:color w:val="f2f2f2"/>
        <w:sz w:val="22"/>
      </w:rPr>
      <w:tblPr/>
      <w:tcPr>
        <w:shd w:val="clear" w:color="5ec9f4" w:themeColor="accent4" w:themeTint="9a" w:fill="5ec9f4"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amp;Lined-Accent5">
    <w:name w:val="Bordered &amp; Lined - Accent 5"/>
    <w:basedOn w:val="NormalTable"/>
    <w:uiPriority w:val="99"/>
    <w:pPr>
      <w:spacing w:after="0" w:line="240" w:lineRule="auto"/>
    </w:pPr>
    <w:rPr>
      <w:color w:val="404040"/>
      <w:sz w:val="20"/>
      <w:szCs w:val="20"/>
      <w:lang w:eastAsia="ru-RU"/>
    </w:rPr>
    <w:tblPr>
      <w:tblStyleRowBandSize w:val="1"/>
      <w:tblStyleColBandSize w:val="1"/>
      <w:tblBorders>
        <w:top w:val="single" w:color="5d1955" w:themeColor="accent5" w:themeShade="95" w:sz="4" w:space="0"/>
        <w:left w:val="single" w:color="5d1955" w:themeColor="accent5" w:themeShade="95" w:sz="4" w:space="0"/>
        <w:bottom w:val="single" w:color="5d1955" w:themeColor="accent5" w:themeShade="95" w:sz="4" w:space="0"/>
        <w:right w:val="single" w:color="5d1955" w:themeColor="accent5" w:themeShade="95" w:sz="4" w:space="0"/>
        <w:insideH w:val="single" w:color="5d1955" w:themeColor="accent5" w:themeShade="95" w:sz="4" w:space="0"/>
        <w:insideV w:val="single" w:color="5d1955" w:themeColor="accent5" w:themeShade="95" w:sz="4" w:space="0"/>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amp;Lined-Accent6">
    <w:name w:val="Bordered &amp; Lined - Accent 6"/>
    <w:basedOn w:val="NormalTable"/>
    <w:uiPriority w:val="99"/>
    <w:pPr>
      <w:spacing w:after="0" w:line="240" w:lineRule="auto"/>
    </w:pPr>
    <w:rPr>
      <w:color w:val="404040"/>
      <w:sz w:val="20"/>
      <w:szCs w:val="20"/>
      <w:lang w:eastAsia="ru-RU"/>
    </w:rPr>
    <w:tblPr>
      <w:tblStyleRowBandSize w:val="1"/>
      <w:tblStyleColBandSize w:val="1"/>
      <w:tblBorders>
        <w:top w:val="single" w:color="2c601a" w:themeColor="accent6" w:themeShade="95" w:sz="4" w:space="0"/>
        <w:left w:val="single" w:color="2c601a" w:themeColor="accent6" w:themeShade="95" w:sz="4" w:space="0"/>
        <w:bottom w:val="single" w:color="2c601a" w:themeColor="accent6" w:themeShade="95" w:sz="4" w:space="0"/>
        <w:right w:val="single" w:color="2c601a" w:themeColor="accent6" w:themeShade="95" w:sz="4" w:space="0"/>
        <w:insideH w:val="single" w:color="2c601a" w:themeColor="accent6" w:themeShade="95" w:sz="4" w:space="0"/>
        <w:insideV w:val="single" w:color="2c601a" w:themeColor="accent6" w:themeShade="95" w:sz="4" w:space="0"/>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7f2ce" w:themeColor="accent6" w:themeTint="34" w:fill="d7f2ce"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7f2ce" w:themeColor="accent6" w:themeTint="34" w:fill="d7f2ce" w:themeFill="accent6" w:themeFillTint="34"/>
      </w:tcPr>
    </w:tblStylePr>
  </w:style>
  <w:style w:type="table" w:customStyle="1" w:styleId="Bordered">
    <w:name w:val="Bordered"/>
    <w:basedOn w:val="NormalTable"/>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rFonts w:ascii="Arial" w:hAnsi="Arial"/>
        <w:color w:val="404040"/>
        <w:sz w:val="22"/>
      </w:rPr>
      <w:tblPr/>
      <w:tcPr>
        <w:tcBorders>
          <w:bottom w:val="single" w:color="7f7f7f" w:themeColor="text1" w:themeTint="80" w:sz="12" w:space="0"/>
        </w:tcBorders>
      </w:tcPr>
    </w:tblStylePr>
    <w:tblStylePr w:type="lastRow">
      <w:rPr>
        <w:rFonts w:ascii="Arial" w:hAnsi="Arial"/>
        <w:color w:val="404040"/>
        <w:sz w:val="22"/>
      </w:rPr>
      <w:tblPr/>
      <w:tcPr>
        <w:tcBorders>
          <w:top w:val="single" w:color="7f7f7f"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7f7f7f" w:themeColor="text1" w:themeTint="80" w:sz="12" w:space="0"/>
        </w:tcBorders>
      </w:tcPr>
    </w:tblStylePr>
    <w:tblStylePr w:type="band1Horz">
      <w:rPr>
        <w:rFonts w:ascii="Arial" w:hAnsi="Arial"/>
        <w:color w:val="404040"/>
        <w:sz w:val="22"/>
      </w:rPr>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style>
  <w:style w:type="table" w:customStyle="1" w:styleId="Bordered-Accent1">
    <w:name w:val="Bordered - Accent 1"/>
    <w:basedOn w:val="NormalTable"/>
    <w:uiPriority w:val="99"/>
    <w:pPr>
      <w:spacing w:after="0" w:line="240" w:lineRule="auto"/>
    </w:pPr>
    <w:tblPr>
      <w:tblStyleRowBandSize w:val="1"/>
      <w:tblStyleColBandSize w:val="1"/>
      <w:tblBorders>
        <w:top w:val="single" w:color="81caeb" w:themeColor="accent1" w:themeTint="67" w:sz="4" w:space="0"/>
        <w:left w:val="single" w:color="81caeb" w:themeColor="accent1" w:themeTint="67" w:sz="4" w:space="0"/>
        <w:bottom w:val="single" w:color="81caeb" w:themeColor="accent1" w:themeTint="67" w:sz="4" w:space="0"/>
        <w:right w:val="single" w:color="81caeb" w:themeColor="accent1" w:themeTint="67" w:sz="4" w:space="0"/>
        <w:insideH w:val="single" w:color="81caeb" w:themeColor="accent1" w:themeTint="67" w:sz="4" w:space="0"/>
        <w:insideV w:val="single" w:color="81caeb" w:themeColor="accent1" w:themeTint="67" w:sz="4" w:space="0"/>
      </w:tblBorders>
    </w:tblPr>
    <w:tblStylePr w:type="firstRow">
      <w:rPr>
        <w:rFonts w:ascii="Arial" w:hAnsi="Arial"/>
        <w:color w:val="404040"/>
        <w:sz w:val="22"/>
      </w:rPr>
      <w:tblPr/>
      <w:tcPr>
        <w:tcBorders>
          <w:bottom w:val="single" w:color="156082" w:themeColor="accent1" w:sz="12" w:space="0"/>
        </w:tcBorders>
      </w:tcPr>
    </w:tblStylePr>
    <w:tblStylePr w:type="lastRow">
      <w:rPr>
        <w:rFonts w:ascii="Arial" w:hAnsi="Arial"/>
        <w:color w:val="404040"/>
        <w:sz w:val="22"/>
      </w:rPr>
      <w:tblPr/>
      <w:tcPr>
        <w:tcBorders>
          <w:top w:val="single" w:color="156082" w:themeColor="accent1"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156082" w:themeColor="accent1" w:sz="12" w:space="0"/>
        </w:tcBorders>
      </w:tcPr>
    </w:tblStylePr>
    <w:tblStylePr w:type="band1Horz">
      <w:rPr>
        <w:rFonts w:ascii="Arial" w:hAnsi="Arial"/>
        <w:color w:val="404040"/>
        <w:sz w:val="22"/>
      </w:rPr>
      <w:tblPr/>
      <w:tcPr>
        <w:tcBorders>
          <w:top w:val="single" w:color="81caeb" w:themeColor="accent1" w:themeTint="67" w:sz="4" w:space="0"/>
          <w:left w:val="single" w:color="81caeb" w:themeColor="accent1" w:themeTint="67" w:sz="4" w:space="0"/>
          <w:bottom w:val="single" w:color="81caeb" w:themeColor="accent1" w:themeTint="67" w:sz="4" w:space="0"/>
          <w:right w:val="single" w:color="81caeb" w:themeColor="accent1" w:themeTint="67" w:sz="4" w:space="0"/>
        </w:tcBorders>
      </w:tcPr>
    </w:tblStylePr>
  </w:style>
  <w:style w:type="table" w:customStyle="1" w:styleId="Bordered-Accent2">
    <w:name w:val="Bordered - Accent 2"/>
    <w:basedOn w:val="NormalTable"/>
    <w:uiPriority w:val="99"/>
    <w:pPr>
      <w:spacing w:after="0" w:line="240" w:lineRule="auto"/>
    </w:pPr>
    <w:tblPr>
      <w:tblStyleRowBandSize w:val="1"/>
      <w:tblStyleColBandSize w:val="1"/>
      <w:tblBorders>
        <w:top w:val="single" w:color="f6c3aa" w:themeColor="accent2" w:themeTint="67" w:sz="4" w:space="0"/>
        <w:left w:val="single" w:color="f6c3aa" w:themeColor="accent2" w:themeTint="67" w:sz="4" w:space="0"/>
        <w:bottom w:val="single" w:color="f6c3aa" w:themeColor="accent2" w:themeTint="67" w:sz="4" w:space="0"/>
        <w:right w:val="single" w:color="f6c3aa" w:themeColor="accent2" w:themeTint="67" w:sz="4" w:space="0"/>
        <w:insideH w:val="single" w:color="f6c3aa" w:themeColor="accent2" w:themeTint="67" w:sz="4" w:space="0"/>
        <w:insideV w:val="single" w:color="f6c3aa" w:themeColor="accent2" w:themeTint="67" w:sz="4" w:space="0"/>
      </w:tblBorders>
    </w:tblPr>
    <w:tblStylePr w:type="firstRow">
      <w:rPr>
        <w:rFonts w:ascii="Arial" w:hAnsi="Arial"/>
        <w:color w:val="404040"/>
        <w:sz w:val="22"/>
      </w:rPr>
      <w:tblPr/>
      <w:tcPr>
        <w:tcBorders>
          <w:bottom w:val="single" w:color="f2a984" w:themeColor="accent2" w:themeTint="97" w:sz="12" w:space="0"/>
        </w:tcBorders>
      </w:tcPr>
    </w:tblStylePr>
    <w:tblStylePr w:type="lastRow">
      <w:rPr>
        <w:rFonts w:ascii="Arial" w:hAnsi="Arial"/>
        <w:color w:val="404040"/>
        <w:sz w:val="22"/>
      </w:rPr>
      <w:tblPr/>
      <w:tcPr>
        <w:tcBorders>
          <w:top w:val="single" w:color="f2a984"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f2a984" w:themeColor="accent2" w:themeTint="97" w:sz="12" w:space="0"/>
        </w:tcBorders>
      </w:tcPr>
    </w:tblStylePr>
    <w:tblStylePr w:type="band1Horz">
      <w:rPr>
        <w:rFonts w:ascii="Arial" w:hAnsi="Arial"/>
        <w:color w:val="404040"/>
        <w:sz w:val="22"/>
      </w:rPr>
      <w:tblPr/>
      <w:tcPr>
        <w:tcBorders>
          <w:top w:val="single" w:color="f6c3aa" w:themeColor="accent2" w:themeTint="67" w:sz="4" w:space="0"/>
          <w:left w:val="single" w:color="f6c3aa" w:themeColor="accent2" w:themeTint="67" w:sz="4" w:space="0"/>
          <w:bottom w:val="single" w:color="f6c3aa" w:themeColor="accent2" w:themeTint="67" w:sz="4" w:space="0"/>
          <w:right w:val="single" w:color="f6c3aa" w:themeColor="accent2" w:themeTint="67" w:sz="4" w:space="0"/>
        </w:tcBorders>
      </w:tcPr>
    </w:tblStylePr>
  </w:style>
  <w:style w:type="table" w:customStyle="1" w:styleId="Bordered-Accent3">
    <w:name w:val="Bordered - Accent 3"/>
    <w:basedOn w:val="NormalTable"/>
    <w:uiPriority w:val="99"/>
    <w:pPr>
      <w:spacing w:after="0" w:line="240" w:lineRule="auto"/>
    </w:pPr>
    <w:tblPr>
      <w:tblStyleRowBandSize w:val="1"/>
      <w:tblStyleColBandSize w:val="1"/>
      <w:tblBorders>
        <w:top w:val="single" w:color="82e290" w:themeColor="accent3" w:themeTint="67" w:sz="4" w:space="0"/>
        <w:left w:val="single" w:color="82e290" w:themeColor="accent3" w:themeTint="67" w:sz="4" w:space="0"/>
        <w:bottom w:val="single" w:color="82e290" w:themeColor="accent3" w:themeTint="67" w:sz="4" w:space="0"/>
        <w:right w:val="single" w:color="82e290" w:themeColor="accent3" w:themeTint="67" w:sz="4" w:space="0"/>
        <w:insideH w:val="single" w:color="82e290" w:themeColor="accent3" w:themeTint="67" w:sz="4" w:space="0"/>
        <w:insideV w:val="single" w:color="82e290" w:themeColor="accent3" w:themeTint="67" w:sz="4" w:space="0"/>
      </w:tblBorders>
    </w:tblPr>
    <w:tblStylePr w:type="firstRow">
      <w:rPr>
        <w:rFonts w:ascii="Arial" w:hAnsi="Arial"/>
        <w:color w:val="404040"/>
        <w:sz w:val="22"/>
      </w:rPr>
      <w:tblPr/>
      <w:tcPr>
        <w:tcBorders>
          <w:bottom w:val="single" w:color="48d45c" w:themeColor="accent3" w:themeTint="98" w:sz="12" w:space="0"/>
        </w:tcBorders>
      </w:tcPr>
    </w:tblStylePr>
    <w:tblStylePr w:type="lastRow">
      <w:rPr>
        <w:rFonts w:ascii="Arial" w:hAnsi="Arial"/>
        <w:color w:val="404040"/>
        <w:sz w:val="22"/>
      </w:rPr>
      <w:tblPr/>
      <w:tcPr>
        <w:tcBorders>
          <w:top w:val="single" w:color="48d45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48d45c" w:themeColor="accent3" w:themeTint="98" w:sz="12" w:space="0"/>
        </w:tcBorders>
      </w:tcPr>
    </w:tblStylePr>
    <w:tblStylePr w:type="band1Horz">
      <w:rPr>
        <w:rFonts w:ascii="Arial" w:hAnsi="Arial"/>
        <w:color w:val="404040"/>
        <w:sz w:val="22"/>
      </w:rPr>
      <w:tblPr/>
      <w:tcPr>
        <w:tcBorders>
          <w:top w:val="single" w:color="82e290" w:themeColor="accent3" w:themeTint="67" w:sz="4" w:space="0"/>
          <w:left w:val="single" w:color="82e290" w:themeColor="accent3" w:themeTint="67" w:sz="4" w:space="0"/>
          <w:bottom w:val="single" w:color="82e290" w:themeColor="accent3" w:themeTint="67" w:sz="4" w:space="0"/>
          <w:right w:val="single" w:color="82e290" w:themeColor="accent3" w:themeTint="67" w:sz="4" w:space="0"/>
        </w:tcBorders>
      </w:tcPr>
    </w:tblStylePr>
  </w:style>
  <w:style w:type="table" w:customStyle="1" w:styleId="Bordered-Accent4">
    <w:name w:val="Bordered - Accent 4"/>
    <w:basedOn w:val="NormalTable"/>
    <w:uiPriority w:val="99"/>
    <w:pPr>
      <w:spacing w:after="0" w:line="240" w:lineRule="auto"/>
    </w:pPr>
    <w:tblPr>
      <w:tblStyleRowBandSize w:val="1"/>
      <w:tblStyleColBandSize w:val="1"/>
      <w:tblBorders>
        <w:top w:val="single" w:color="95dbf7" w:themeColor="accent4" w:themeTint="67" w:sz="4" w:space="0"/>
        <w:left w:val="single" w:color="95dbf7" w:themeColor="accent4" w:themeTint="67" w:sz="4" w:space="0"/>
        <w:bottom w:val="single" w:color="95dbf7" w:themeColor="accent4" w:themeTint="67" w:sz="4" w:space="0"/>
        <w:right w:val="single" w:color="95dbf7" w:themeColor="accent4" w:themeTint="67" w:sz="4" w:space="0"/>
        <w:insideH w:val="single" w:color="95dbf7" w:themeColor="accent4" w:themeTint="67" w:sz="4" w:space="0"/>
        <w:insideV w:val="single" w:color="95dbf7" w:themeColor="accent4" w:themeTint="67" w:sz="4" w:space="0"/>
      </w:tblBorders>
    </w:tblPr>
    <w:tblStylePr w:type="firstRow">
      <w:rPr>
        <w:rFonts w:ascii="Arial" w:hAnsi="Arial"/>
        <w:color w:val="404040"/>
        <w:sz w:val="22"/>
      </w:rPr>
      <w:tblPr/>
      <w:tcPr>
        <w:tcBorders>
          <w:bottom w:val="single" w:color="5ec9f4" w:themeColor="accent4" w:themeTint="9a" w:sz="12" w:space="0"/>
        </w:tcBorders>
      </w:tcPr>
    </w:tblStylePr>
    <w:tblStylePr w:type="lastRow">
      <w:rPr>
        <w:rFonts w:ascii="Arial" w:hAnsi="Arial"/>
        <w:color w:val="404040"/>
        <w:sz w:val="22"/>
      </w:rPr>
      <w:tblPr/>
      <w:tcPr>
        <w:tcBorders>
          <w:top w:val="single" w:color="5ec9f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5ec9f4" w:themeColor="accent4" w:themeTint="9a" w:sz="12" w:space="0"/>
        </w:tcBorders>
      </w:tcPr>
    </w:tblStylePr>
    <w:tblStylePr w:type="band1Horz">
      <w:rPr>
        <w:rFonts w:ascii="Arial" w:hAnsi="Arial"/>
        <w:color w:val="404040"/>
        <w:sz w:val="22"/>
      </w:rPr>
      <w:tblPr/>
      <w:tcPr>
        <w:tcBorders>
          <w:top w:val="single" w:color="95dbf7" w:themeColor="accent4" w:themeTint="67" w:sz="4" w:space="0"/>
          <w:left w:val="single" w:color="95dbf7" w:themeColor="accent4" w:themeTint="67" w:sz="4" w:space="0"/>
          <w:bottom w:val="single" w:color="95dbf7" w:themeColor="accent4" w:themeTint="67" w:sz="4" w:space="0"/>
          <w:right w:val="single" w:color="95dbf7" w:themeColor="accent4" w:themeTint="67" w:sz="4" w:space="0"/>
        </w:tcBorders>
      </w:tcPr>
    </w:tblStylePr>
  </w:style>
  <w:style w:type="table" w:customStyle="1" w:styleId="Bordered-Accent5">
    <w:name w:val="Bordered - Accent 5"/>
    <w:basedOn w:val="NormalTable"/>
    <w:uiPriority w:val="99"/>
    <w:pPr>
      <w:spacing w:after="0" w:line="240" w:lineRule="auto"/>
    </w:pPr>
    <w:tblPr>
      <w:tblStyleRowBandSize w:val="1"/>
      <w:tblStyleColBandSize w:val="1"/>
      <w:tblBorders>
        <w:top w:val="single" w:color="e49cdb" w:themeColor="accent5" w:themeTint="67" w:sz="4" w:space="0"/>
        <w:left w:val="single" w:color="e49cdb" w:themeColor="accent5" w:themeTint="67" w:sz="4" w:space="0"/>
        <w:bottom w:val="single" w:color="e49cdb" w:themeColor="accent5" w:themeTint="67" w:sz="4" w:space="0"/>
        <w:right w:val="single" w:color="e49cdb" w:themeColor="accent5" w:themeTint="67" w:sz="4" w:space="0"/>
        <w:insideH w:val="single" w:color="e49cdb" w:themeColor="accent5" w:themeTint="67" w:sz="4" w:space="0"/>
        <w:insideV w:val="single" w:color="e49cdb" w:themeColor="accent5" w:themeTint="67" w:sz="4" w:space="0"/>
      </w:tblBorders>
    </w:tblPr>
    <w:tblStylePr w:type="firstRow">
      <w:rPr>
        <w:rFonts w:ascii="Arial" w:hAnsi="Arial"/>
        <w:color w:val="404040"/>
        <w:sz w:val="22"/>
      </w:rPr>
      <w:tblPr/>
      <w:tcPr>
        <w:tcBorders>
          <w:bottom w:val="single" w:color="d76bca" w:themeColor="accent5" w:themeTint="9a" w:sz="12" w:space="0"/>
        </w:tcBorders>
      </w:tcPr>
    </w:tblStylePr>
    <w:tblStylePr w:type="lastRow">
      <w:rPr>
        <w:rFonts w:ascii="Arial" w:hAnsi="Arial"/>
        <w:color w:val="404040"/>
        <w:sz w:val="22"/>
      </w:rPr>
      <w:tblPr/>
      <w:tcPr>
        <w:tcBorders>
          <w:top w:val="single" w:color="d76bca"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d76bca" w:themeColor="accent5" w:themeTint="9a" w:sz="12" w:space="0"/>
        </w:tcBorders>
      </w:tcPr>
    </w:tblStylePr>
    <w:tblStylePr w:type="band1Horz">
      <w:rPr>
        <w:rFonts w:ascii="Arial" w:hAnsi="Arial"/>
        <w:color w:val="404040"/>
        <w:sz w:val="22"/>
      </w:rPr>
      <w:tblPr/>
      <w:tcPr>
        <w:tcBorders>
          <w:top w:val="single" w:color="e49cdb" w:themeColor="accent5" w:themeTint="67" w:sz="4" w:space="0"/>
          <w:left w:val="single" w:color="e49cdb" w:themeColor="accent5" w:themeTint="67" w:sz="4" w:space="0"/>
          <w:bottom w:val="single" w:color="e49cdb" w:themeColor="accent5" w:themeTint="67" w:sz="4" w:space="0"/>
          <w:right w:val="single" w:color="e49cdb" w:themeColor="accent5" w:themeTint="67" w:sz="4" w:space="0"/>
        </w:tcBorders>
      </w:tcPr>
    </w:tblStylePr>
  </w:style>
  <w:style w:type="table" w:customStyle="1" w:styleId="Bordered-Accent6">
    <w:name w:val="Bordered - Accent 6"/>
    <w:basedOn w:val="NormalTable"/>
    <w:uiPriority w:val="99"/>
    <w:pPr>
      <w:spacing w:after="0" w:line="240" w:lineRule="auto"/>
    </w:pPr>
    <w:tblPr>
      <w:tblStyleRowBandSize w:val="1"/>
      <w:tblStyleColBandSize w:val="1"/>
      <w:tblBorders>
        <w:top w:val="single" w:color="b1e59f" w:themeColor="accent6" w:themeTint="67" w:sz="4" w:space="0"/>
        <w:left w:val="single" w:color="b1e59f" w:themeColor="accent6" w:themeTint="67" w:sz="4" w:space="0"/>
        <w:bottom w:val="single" w:color="b1e59f" w:themeColor="accent6" w:themeTint="67" w:sz="4" w:space="0"/>
        <w:right w:val="single" w:color="b1e59f" w:themeColor="accent6" w:themeTint="67" w:sz="4" w:space="0"/>
        <w:insideH w:val="single" w:color="b1e59f" w:themeColor="accent6" w:themeTint="67" w:sz="4" w:space="0"/>
        <w:insideV w:val="single" w:color="b1e59f" w:themeColor="accent6" w:themeTint="67" w:sz="4" w:space="0"/>
      </w:tblBorders>
    </w:tblPr>
    <w:tblStylePr w:type="firstRow">
      <w:rPr>
        <w:rFonts w:ascii="Arial" w:hAnsi="Arial"/>
        <w:color w:val="404040"/>
        <w:sz w:val="22"/>
      </w:rPr>
      <w:tblPr/>
      <w:tcPr>
        <w:tcBorders>
          <w:bottom w:val="single" w:color="8ed973" w:themeColor="accent6" w:themeTint="98" w:sz="12" w:space="0"/>
        </w:tcBorders>
      </w:tcPr>
    </w:tblStylePr>
    <w:tblStylePr w:type="lastRow">
      <w:rPr>
        <w:rFonts w:ascii="Arial" w:hAnsi="Arial"/>
        <w:color w:val="404040"/>
        <w:sz w:val="22"/>
      </w:rPr>
      <w:tblPr/>
      <w:tcPr>
        <w:tcBorders>
          <w:top w:val="single" w:color="8ed973"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8ed973" w:themeColor="accent6" w:themeTint="98" w:sz="12" w:space="0"/>
        </w:tcBorders>
      </w:tcPr>
    </w:tblStylePr>
    <w:tblStylePr w:type="band1Horz">
      <w:rPr>
        <w:rFonts w:ascii="Arial" w:hAnsi="Arial"/>
        <w:color w:val="404040"/>
        <w:sz w:val="22"/>
      </w:rPr>
      <w:tblPr/>
      <w:tcPr>
        <w:tcBorders>
          <w:top w:val="single" w:color="b1e59f" w:themeColor="accent6" w:themeTint="67" w:sz="4" w:space="0"/>
          <w:left w:val="single" w:color="b1e59f" w:themeColor="accent6" w:themeTint="67" w:sz="4" w:space="0"/>
          <w:bottom w:val="single" w:color="b1e59f" w:themeColor="accent6" w:themeTint="67" w:sz="4" w:space="0"/>
          <w:right w:val="single" w:color="b1e59f" w:themeColor="accent6" w:themeTint="67" w:sz="4" w:space="0"/>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Toc1">
    <w:name w:val="Toc 1"/>
    <w:basedOn w:val="Normal"/>
    <w:next w:val="Normal"/>
    <w:uiPriority w:val="39"/>
    <w:unhideWhenUsed w:val="on"/>
    <w:pPr>
      <w:spacing w:after="57"/>
    </w:pPr>
  </w:style>
  <w:style w:type="paragraph" w:styleId="Toc2">
    <w:name w:val="Toc 2"/>
    <w:basedOn w:val="Normal"/>
    <w:next w:val="Normal"/>
    <w:uiPriority w:val="39"/>
    <w:unhideWhenUsed w:val="on"/>
    <w:pPr>
      <w:spacing w:after="57"/>
      <w:ind w:left="283"/>
    </w:pPr>
  </w:style>
  <w:style w:type="paragraph" w:styleId="Toc3">
    <w:name w:val="Toc 3"/>
    <w:basedOn w:val="Normal"/>
    <w:next w:val="Normal"/>
    <w:uiPriority w:val="39"/>
    <w:unhideWhenUsed w:val="on"/>
    <w:pPr>
      <w:spacing w:after="57"/>
      <w:ind w:left="567"/>
    </w:pPr>
  </w:style>
  <w:style w:type="paragraph" w:styleId="Toc4">
    <w:name w:val="Toc 4"/>
    <w:basedOn w:val="Normal"/>
    <w:next w:val="Normal"/>
    <w:uiPriority w:val="39"/>
    <w:unhideWhenUsed w:val="on"/>
    <w:pPr>
      <w:spacing w:after="57"/>
      <w:ind w:left="850"/>
    </w:pPr>
  </w:style>
  <w:style w:type="paragraph" w:styleId="Toc5">
    <w:name w:val="Toc 5"/>
    <w:basedOn w:val="Normal"/>
    <w:next w:val="Normal"/>
    <w:uiPriority w:val="39"/>
    <w:unhideWhenUsed w:val="on"/>
    <w:pPr>
      <w:spacing w:after="57"/>
      <w:ind w:left="1134"/>
    </w:pPr>
  </w:style>
  <w:style w:type="paragraph" w:styleId="Toc6">
    <w:name w:val="Toc 6"/>
    <w:basedOn w:val="Normal"/>
    <w:next w:val="Normal"/>
    <w:uiPriority w:val="39"/>
    <w:unhideWhenUsed w:val="on"/>
    <w:pPr>
      <w:spacing w:after="57"/>
      <w:ind w:left="1417"/>
    </w:pPr>
  </w:style>
  <w:style w:type="paragraph" w:styleId="Toc7">
    <w:name w:val="Toc 7"/>
    <w:basedOn w:val="Normal"/>
    <w:next w:val="Normal"/>
    <w:uiPriority w:val="39"/>
    <w:unhideWhenUsed w:val="on"/>
    <w:pPr>
      <w:spacing w:after="57"/>
      <w:ind w:left="1701"/>
    </w:pPr>
  </w:style>
  <w:style w:type="paragraph" w:styleId="Toc8">
    <w:name w:val="Toc 8"/>
    <w:basedOn w:val="Normal"/>
    <w:next w:val="Normal"/>
    <w:uiPriority w:val="39"/>
    <w:unhideWhenUsed w:val="on"/>
    <w:pPr>
      <w:spacing w:after="57"/>
      <w:ind w:left="1984"/>
    </w:pPr>
  </w:style>
  <w:style w:type="paragraph" w:styleId="Toc9">
    <w:name w:val="Toc 9"/>
    <w:basedOn w:val="Normal"/>
    <w:next w:val="Normal"/>
    <w:uiPriority w:val="39"/>
    <w:unhideWhenUsed w:val="on"/>
    <w:pPr>
      <w:spacing w:after="57"/>
      <w:ind w:left="2268"/>
    </w:pPr>
  </w:style>
  <w:style w:type="paragraph" w:styleId="TOCHeading">
    <w:name w:val="TOC Heading"/>
    <w:uiPriority w:val="39"/>
    <w:unhideWhenUsed w:val="on"/>
  </w:style>
  <w:style w:type="paragraph" w:styleId="Tableoffigures">
    <w:name w:val="Table of figures"/>
    <w:basedOn w:val="Normal"/>
    <w:next w:val="Normal"/>
    <w:uiPriority w:val="99"/>
    <w:unhideWhenUsed w:val="on"/>
    <w:pPr>
      <w:spacing w:after="0"/>
    </w:pPr>
  </w:style>
  <w:style w:type="paragraph" w:styleId="NoSpacing">
    <w:name w:val="No Spacing"/>
    <w:uiPriority w:val="1"/>
    <w:qFormat w:val="on"/>
    <w:pPr>
      <w:spacing w:after="0" w:line="240" w:lineRule="auto"/>
    </w:pPr>
  </w:style>
  <w:style w:type="character" w:customStyle="1" w:styleId="Heading1Char">
    <w:name w:val="Heading 1 Char"/>
    <w:uiPriority w:val="9"/>
    <w:rPr>
      <w:rFonts w:asciiTheme="majorHAnsi" w:cstheme="majorBidi" w:eastAsiaTheme="majorEastAsia" w:hAnsiTheme="majorHAnsi"/>
      <w:b/>
      <w:bCs/>
      <w:color w:val="104760" w:themeColor="accent1" w:themeShade="bf"/>
      <w:sz w:val="28"/>
      <w:szCs w:val="28"/>
    </w:rPr>
  </w:style>
  <w:style w:type="character" w:customStyle="1" w:styleId="Heading2Char">
    <w:name w:val="Heading 2 Char"/>
    <w:uiPriority w:val="9"/>
    <w:rPr>
      <w:rFonts w:asciiTheme="majorHAnsi" w:cstheme="majorBidi" w:eastAsiaTheme="majorEastAsia" w:hAnsiTheme="majorHAnsi"/>
      <w:b/>
      <w:bCs/>
      <w:color w:val="156082" w:themeColor="accent1"/>
      <w:sz w:val="26"/>
      <w:szCs w:val="26"/>
    </w:rPr>
  </w:style>
  <w:style w:type="character" w:customStyle="1" w:styleId="Heading3Char">
    <w:name w:val="Heading 3 Char"/>
    <w:uiPriority w:val="9"/>
    <w:rPr>
      <w:rFonts w:asciiTheme="majorHAnsi" w:cstheme="majorBidi" w:eastAsiaTheme="majorEastAsia" w:hAnsiTheme="majorHAnsi"/>
      <w:b/>
      <w:bCs/>
      <w:color w:val="156082" w:themeColor="accent1"/>
    </w:rPr>
  </w:style>
  <w:style w:type="character" w:customStyle="1" w:styleId="Heading4Char">
    <w:name w:val="Heading 4 Char"/>
    <w:uiPriority w:val="9"/>
    <w:rPr>
      <w:rFonts w:asciiTheme="majorHAnsi" w:cstheme="majorBidi" w:eastAsiaTheme="majorEastAsia" w:hAnsiTheme="majorHAnsi"/>
      <w:b/>
      <w:bCs/>
      <w:i/>
      <w:iCs/>
      <w:color w:val="156082" w:themeColor="accent1"/>
    </w:rPr>
  </w:style>
  <w:style w:type="character" w:customStyle="1" w:styleId="Heading5Char">
    <w:name w:val="Heading 5 Char"/>
    <w:uiPriority w:val="9"/>
    <w:rPr>
      <w:rFonts w:asciiTheme="majorHAnsi" w:cstheme="majorBidi" w:eastAsiaTheme="majorEastAsia" w:hAnsiTheme="majorHAnsi"/>
      <w:color w:val="0a2f40" w:themeColor="accent1" w:themeShade="7f"/>
    </w:rPr>
  </w:style>
  <w:style w:type="character" w:customStyle="1" w:styleId="Heading6Char">
    <w:name w:val="Heading 6 Char"/>
    <w:uiPriority w:val="9"/>
    <w:rPr>
      <w:rFonts w:asciiTheme="majorHAnsi" w:cstheme="majorBidi" w:eastAsiaTheme="majorEastAsia" w:hAnsiTheme="majorHAnsi"/>
      <w:i/>
      <w:iCs/>
      <w:color w:val="0a2f40" w:themeColor="accent1" w:themeShade="7f"/>
    </w:rPr>
  </w:style>
  <w:style w:type="character" w:customStyle="1" w:styleId="Heading7Char">
    <w:name w:val="Heading 7 Char"/>
    <w:uiPriority w:val="9"/>
    <w:rPr>
      <w:rFonts w:asciiTheme="majorHAnsi" w:cstheme="majorBidi" w:eastAsiaTheme="majorEastAsia" w:hAnsiTheme="majorHAnsi"/>
      <w:i/>
      <w:iCs/>
      <w:color w:val="404040" w:themeColor="text1" w:themeTint="bf"/>
    </w:rPr>
  </w:style>
  <w:style w:type="character" w:customStyle="1" w:styleId="Heading8Char">
    <w:name w:val="Heading 8 Char"/>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uiPriority w:val="9"/>
    <w:rPr>
      <w:rFonts w:asciiTheme="majorHAnsi" w:cstheme="majorBidi" w:eastAsiaTheme="majorEastAsia" w:hAnsiTheme="majorHAnsi"/>
      <w:i/>
      <w:iCs/>
      <w:color w:val="404040" w:themeColor="text1" w:themeTint="bf"/>
      <w:sz w:val="20"/>
      <w:szCs w:val="20"/>
    </w:rPr>
  </w:style>
  <w:style w:type="character" w:customStyle="1" w:styleId="TitleChar">
    <w:name w:val="Title Char"/>
    <w:uiPriority w:val="10"/>
    <w:rPr>
      <w:rFonts w:asciiTheme="majorHAnsi" w:cstheme="majorBidi" w:eastAsiaTheme="majorEastAsia" w:hAnsiTheme="majorHAnsi"/>
      <w:color w:val="0a1d30" w:themeColor="text2" w:themeShade="bf"/>
      <w:spacing w:val="5"/>
      <w:sz w:val="52"/>
      <w:szCs w:val="52"/>
    </w:rPr>
  </w:style>
  <w:style w:type="character" w:customStyle="1" w:styleId="SubtitleChar">
    <w:name w:val="Subtitle Char"/>
    <w:uiPriority w:val="11"/>
    <w:rPr>
      <w:rFonts w:asciiTheme="majorHAnsi" w:cstheme="majorBidi" w:eastAsiaTheme="majorEastAsia" w:hAnsiTheme="majorHAnsi"/>
      <w:i/>
      <w:iCs/>
      <w:color w:val="156082" w:themeColor="accent1"/>
      <w:spacing w:val="15"/>
      <w:sz w:val="24"/>
      <w:szCs w:val="24"/>
    </w:rPr>
  </w:style>
  <w:style w:type="character" w:styleId="SubtleEmphasis">
    <w:name w:val="Subtle Emphasis"/>
    <w:uiPriority w:val="19"/>
    <w:qFormat w:val="on"/>
    <w:rPr>
      <w:i/>
      <w:iCs/>
      <w:color w:val="808080" w:themeColor="text1" w:themeTint="7f"/>
    </w:rPr>
  </w:style>
  <w:style w:type="character" w:styleId="Emphasis">
    <w:name w:val="Emphasis"/>
    <w:uiPriority w:val="20"/>
    <w:qFormat w:val="on"/>
    <w:rPr>
      <w:i/>
      <w:iCs/>
    </w:rPr>
  </w:style>
  <w:style w:type="character" w:styleId="Strong">
    <w:name w:val="Strong"/>
    <w:uiPriority w:val="22"/>
    <w:qFormat w:val="on"/>
    <w:rPr>
      <w:b/>
      <w:bCs/>
    </w:rPr>
  </w:style>
  <w:style w:type="character" w:customStyle="1" w:styleId="QuoteChar">
    <w:name w:val="Quote Char"/>
    <w:uiPriority w:val="29"/>
    <w:rPr>
      <w:i/>
      <w:iCs/>
      <w:color w:val="000000" w:themeColor="text1"/>
    </w:rPr>
  </w:style>
  <w:style w:type="character" w:customStyle="1" w:styleId="IntenseQuoteChar">
    <w:name w:val="Intense Quote Char"/>
    <w:uiPriority w:val="30"/>
    <w:rPr>
      <w:b/>
      <w:bCs/>
      <w:i/>
      <w:iCs/>
      <w:color w:val="156082" w:themeColor="accent1"/>
    </w:rPr>
  </w:style>
  <w:style w:type="character" w:styleId="SubtleReference">
    <w:name w:val="Subtle Reference"/>
    <w:uiPriority w:val="31"/>
    <w:qFormat w:val="on"/>
    <w:rPr>
      <w:smallCaps/>
      <w:color w:val="e97132" w:themeColor="accent2"/>
      <w:u w:val="single"/>
    </w:rPr>
  </w:style>
  <w:style w:type="character" w:styleId="BookTitle">
    <w:name w:val="Book Title"/>
    <w:uiPriority w:val="33"/>
    <w:qFormat w:val="on"/>
    <w:rPr>
      <w:b/>
      <w:bCs/>
      <w:smallCaps/>
      <w:spacing w:val="5"/>
    </w:rPr>
  </w:style>
  <w:style w:type="paragraph" w:styleId="Footnotetext">
    <w:name w:val="Footnote text"/>
    <w:link w:val="ТекстсноскиЗнак"/>
    <w:uiPriority w:val="99"/>
    <w:unhideWhenUsed w:val="on"/>
    <w:pPr>
      <w:spacing w:after="0" w:line="240" w:lineRule="auto"/>
    </w:pPr>
    <w:rPr>
      <w:sz w:val="20"/>
      <w:szCs w:val="20"/>
    </w:rPr>
  </w:style>
  <w:style w:type="character" w:customStyle="1" w:styleId="ТекстсноскиЗнак">
    <w:name w:val="Текст сноски Знак"/>
    <w:link w:val="Footnotetext"/>
    <w:uiPriority w:val="99"/>
    <w:rPr>
      <w:sz w:val="20"/>
      <w:szCs w:val="20"/>
    </w:rPr>
  </w:style>
  <w:style w:type="character" w:styleId="Footnotereference">
    <w:name w:val="Footnote reference"/>
    <w:uiPriority w:val="99"/>
    <w:semiHidden w:val="on"/>
    <w:unhideWhenUsed w:val="on"/>
    <w:rPr>
      <w:vertAlign w:val="superscript"/>
    </w:rPr>
  </w:style>
  <w:style w:type="paragraph" w:styleId="Endnotetext">
    <w:name w:val="Endnote text"/>
    <w:link w:val="ТекстконцевойсноскиЗнак"/>
    <w:uiPriority w:val="99"/>
    <w:semiHidden w:val="on"/>
    <w:unhideWhenUsed w:val="on"/>
    <w:pPr>
      <w:spacing w:after="0" w:line="240" w:lineRule="auto"/>
    </w:pPr>
    <w:rPr>
      <w:sz w:val="20"/>
      <w:szCs w:val="20"/>
    </w:rPr>
  </w:style>
  <w:style w:type="character" w:customStyle="1" w:styleId="ТекстконцевойсноскиЗнак">
    <w:name w:val="Текст концевой сноски Знак"/>
    <w:link w:val="Endnotetext"/>
    <w:uiPriority w:val="99"/>
    <w:semiHidden w:val="on"/>
    <w:rPr>
      <w:sz w:val="20"/>
      <w:szCs w:val="20"/>
    </w:rPr>
  </w:style>
  <w:style w:type="character" w:styleId="Endnotereference">
    <w:name w:val="Endnote reference"/>
    <w:uiPriority w:val="99"/>
    <w:semiHidden w:val="on"/>
    <w:unhideWhenUsed w:val="on"/>
    <w:rPr>
      <w:vertAlign w:val="superscript"/>
    </w:rPr>
  </w:style>
  <w:style w:type="character" w:styleId="Hyperlink">
    <w:name w:val="Hyperlink"/>
    <w:uiPriority w:val="99"/>
    <w:unhideWhenUsed w:val="on"/>
    <w:rPr>
      <w:color w:val="467886" w:themeColor="hyperlink"/>
      <w:u w:val="single"/>
    </w:rPr>
  </w:style>
  <w:style w:type="character" w:styleId="FollowedHyperlink">
    <w:name w:val="FollowedHyperlink"/>
    <w:uiPriority w:val="99"/>
    <w:semiHidden w:val="on"/>
    <w:unhideWhenUsed w:val="on"/>
    <w:rPr>
      <w:color w:val="96607d" w:themeColor="followedHyperlink"/>
      <w:u w:val="single"/>
    </w:rPr>
  </w:style>
  <w:style w:type="paragraph" w:styleId="PlainText">
    <w:name w:val="Plain Text"/>
    <w:link w:val="ТекстЗнак"/>
    <w:uiPriority w:val="99"/>
    <w:semiHidden w:val="on"/>
    <w:unhideWhenUsed w:val="on"/>
    <w:pPr>
      <w:spacing w:after="0" w:line="240" w:lineRule="auto"/>
    </w:pPr>
    <w:rPr>
      <w:rFonts w:ascii="Courier New" w:cs="Courier New" w:hAnsi="Courier New"/>
      <w:sz w:val="21"/>
      <w:szCs w:val="21"/>
    </w:rPr>
  </w:style>
  <w:style w:type="character" w:customStyle="1" w:styleId="ТекстЗнак">
    <w:name w:val="Текст Знак"/>
    <w:link w:val="PlainText"/>
    <w:uiPriority w:val="99"/>
    <w:rPr>
      <w:rFonts w:ascii="Courier New" w:cs="Courier New" w:hAnsi="Courier New"/>
      <w:sz w:val="21"/>
      <w:szCs w:val="21"/>
    </w:rPr>
  </w:style>
  <w:style w:type="paragraph" w:styleId="Header">
    <w:name w:val="Header"/>
    <w:link w:val="ВерхнийколонтитулЗнак"/>
    <w:uiPriority w:val="99"/>
    <w:unhideWhenUsed w:val="on"/>
    <w:pPr>
      <w:spacing w:after="0" w:line="240" w:lineRule="auto"/>
    </w:pPr>
  </w:style>
  <w:style w:type="character" w:customStyle="1" w:styleId="ВерхнийколонтитулЗнак">
    <w:name w:val="Верхний колонтитул Знак"/>
    <w:link w:val="Header"/>
    <w:uiPriority w:val="99"/>
  </w:style>
  <w:style w:type="paragraph" w:styleId="Footer">
    <w:name w:val="Footer"/>
    <w:link w:val="НижнийколонтитулЗнак"/>
    <w:uiPriority w:val="99"/>
    <w:unhideWhenUsed w:val="on"/>
    <w:pPr>
      <w:spacing w:after="0" w:line="240" w:lineRule="auto"/>
    </w:pPr>
  </w:style>
  <w:style w:type="character" w:customStyle="1" w:styleId="НижнийколонтитулЗнак">
    <w:name w:val="Нижний колонтитул Знак"/>
    <w:link w:val="Footer"/>
    <w:uiPriority w:val="99"/>
  </w:style>
  <w:style w:type="paragraph" w:styleId="Caption">
    <w:name w:val="Caption"/>
    <w:link w:val="НазваниеобъектаЗнак"/>
    <w:uiPriority w:val="35"/>
    <w:unhideWhenUsed w:val="on"/>
    <w:qFormat w:val="on"/>
    <w:pPr>
      <w:spacing w:after="200" w:line="240" w:lineRule="auto"/>
    </w:pPr>
    <w:rPr>
      <w:i/>
      <w:iCs/>
      <w:color w:val="0e2841" w:themeColor="text2"/>
      <w:sz w:val="18"/>
      <w:szCs w:val="18"/>
    </w:rPr>
  </w:style>
  <w:style w:type="character" w:customStyle="1" w:styleId="Заголовок1Знак">
    <w:name w:val="Заголовок 1 Знак"/>
    <w:basedOn w:val="DefaultParagraphFont"/>
    <w:link w:val="Heading1"/>
    <w:uiPriority w:val="9"/>
    <w:rPr>
      <w:rFonts w:asciiTheme="majorHAnsi" w:cstheme="majorBidi" w:eastAsiaTheme="majorEastAsia" w:hAnsiTheme="majorHAnsi"/>
      <w:color w:val="104760" w:themeColor="accent1" w:themeShade="bf"/>
      <w:sz w:val="40"/>
      <w:szCs w:val="40"/>
    </w:rPr>
  </w:style>
  <w:style w:type="character" w:customStyle="1" w:styleId="Заголовок2Знак">
    <w:name w:val="Заголовок 2 Знак"/>
    <w:basedOn w:val="DefaultParagraphFont"/>
    <w:link w:val="Heading2"/>
    <w:uiPriority w:val="9"/>
    <w:semiHidden w:val="on"/>
    <w:rPr>
      <w:rFonts w:asciiTheme="majorHAnsi" w:cstheme="majorBidi" w:eastAsiaTheme="majorEastAsia" w:hAnsiTheme="majorHAnsi"/>
      <w:color w:val="104760" w:themeColor="accent1" w:themeShade="bf"/>
      <w:sz w:val="32"/>
      <w:szCs w:val="32"/>
    </w:rPr>
  </w:style>
  <w:style w:type="character" w:customStyle="1" w:styleId="Заголовок3Знак">
    <w:name w:val="Заголовок 3 Знак"/>
    <w:basedOn w:val="DefaultParagraphFont"/>
    <w:link w:val="Heading3"/>
    <w:uiPriority w:val="9"/>
    <w:semiHidden w:val="on"/>
    <w:rPr>
      <w:rFonts w:cstheme="majorBidi" w:eastAsiaTheme="majorEastAsia"/>
      <w:color w:val="104760" w:themeColor="accent1" w:themeShade="bf"/>
      <w:sz w:val="28"/>
      <w:szCs w:val="28"/>
    </w:rPr>
  </w:style>
  <w:style w:type="character" w:customStyle="1" w:styleId="Заголовок4Знак">
    <w:name w:val="Заголовок 4 Знак"/>
    <w:basedOn w:val="DefaultParagraphFont"/>
    <w:link w:val="Heading4"/>
    <w:uiPriority w:val="9"/>
    <w:semiHidden w:val="on"/>
    <w:rPr>
      <w:rFonts w:cstheme="majorBidi" w:eastAsiaTheme="majorEastAsia"/>
      <w:i/>
      <w:iCs/>
      <w:color w:val="104760" w:themeColor="accent1" w:themeShade="bf"/>
    </w:rPr>
  </w:style>
  <w:style w:type="character" w:customStyle="1" w:styleId="Заголовок5Знак">
    <w:name w:val="Заголовок 5 Знак"/>
    <w:basedOn w:val="DefaultParagraphFont"/>
    <w:link w:val="Heading5"/>
    <w:uiPriority w:val="9"/>
    <w:semiHidden w:val="on"/>
    <w:rPr>
      <w:rFonts w:cstheme="majorBidi" w:eastAsiaTheme="majorEastAsia"/>
      <w:color w:val="104760" w:themeColor="accent1" w:themeShade="bf"/>
    </w:rPr>
  </w:style>
  <w:style w:type="character" w:customStyle="1" w:styleId="Заголовок6Знак">
    <w:name w:val="Заголовок 6 Знак"/>
    <w:basedOn w:val="DefaultParagraphFont"/>
    <w:link w:val="Heading6"/>
    <w:uiPriority w:val="9"/>
    <w:semiHidden w:val="on"/>
    <w:rPr>
      <w:rFonts w:cstheme="majorBidi" w:eastAsiaTheme="majorEastAsia"/>
      <w:i/>
      <w:iCs/>
      <w:color w:val="595959" w:themeColor="text1" w:themeTint="a6"/>
    </w:rPr>
  </w:style>
  <w:style w:type="character" w:customStyle="1" w:styleId="Заголовок7Знак">
    <w:name w:val="Заголовок 7 Знак"/>
    <w:basedOn w:val="DefaultParagraphFont"/>
    <w:link w:val="Heading7"/>
    <w:uiPriority w:val="9"/>
    <w:semiHidden w:val="on"/>
    <w:rPr>
      <w:rFonts w:cstheme="majorBidi" w:eastAsiaTheme="majorEastAsia"/>
      <w:color w:val="595959" w:themeColor="text1" w:themeTint="a6"/>
    </w:rPr>
  </w:style>
  <w:style w:type="character" w:customStyle="1" w:styleId="Заголовок8Знак">
    <w:name w:val="Заголовок 8 Знак"/>
    <w:basedOn w:val="DefaultParagraphFont"/>
    <w:link w:val="Heading8"/>
    <w:uiPriority w:val="9"/>
    <w:semiHidden w:val="on"/>
    <w:rPr>
      <w:rFonts w:cstheme="majorBidi" w:eastAsiaTheme="majorEastAsia"/>
      <w:i/>
      <w:iCs/>
      <w:color w:val="272727" w:themeColor="text1" w:themeTint="d8"/>
    </w:rPr>
  </w:style>
  <w:style w:type="character" w:customStyle="1" w:styleId="Заголовок9Знак">
    <w:name w:val="Заголовок 9 Знак"/>
    <w:basedOn w:val="DefaultParagraphFont"/>
    <w:link w:val="Heading9"/>
    <w:uiPriority w:val="9"/>
    <w:semiHidden w:val="on"/>
    <w:rPr>
      <w:rFonts w:cstheme="majorBidi" w:eastAsiaTheme="majorEastAsia"/>
      <w:color w:val="272727" w:themeColor="text1" w:themeTint="d8"/>
    </w:rPr>
  </w:style>
  <w:style w:type="paragraph" w:styleId="Title">
    <w:name w:val="Title"/>
    <w:basedOn w:val="Normal"/>
    <w:next w:val="Normal"/>
    <w:link w:val="ЗаголовокЗнак"/>
    <w:uiPriority w:val="10"/>
    <w:qFormat w:val="on"/>
    <w:pPr>
      <w:spacing w:after="80" w:line="240" w:lineRule="auto"/>
      <w:contextualSpacing w:val="on"/>
    </w:pPr>
    <w:rPr>
      <w:rFonts w:asciiTheme="majorHAnsi" w:cstheme="majorBidi" w:eastAsiaTheme="majorEastAsia" w:hAnsiTheme="majorHAnsi"/>
      <w:spacing w:val="-10"/>
      <w:sz w:val="56"/>
      <w:szCs w:val="56"/>
    </w:rPr>
  </w:style>
  <w:style w:type="character" w:customStyle="1" w:styleId="ЗаголовокЗнак">
    <w:name w:val="Заголовок Знак"/>
    <w:basedOn w:val="DefaultParagraphFont"/>
    <w:link w:val="Title"/>
    <w:uiPriority w:val="10"/>
    <w:rPr>
      <w:rFonts w:asciiTheme="majorHAnsi" w:cstheme="majorBidi" w:eastAsiaTheme="majorEastAsia" w:hAnsiTheme="majorHAnsi"/>
      <w:spacing w:val="-10"/>
      <w:sz w:val="56"/>
      <w:szCs w:val="56"/>
    </w:rPr>
  </w:style>
  <w:style w:type="paragraph" w:styleId="Subtitle">
    <w:name w:val="Subtitle"/>
    <w:basedOn w:val="Normal"/>
    <w:next w:val="Normal"/>
    <w:link w:val="ПодзаголовокЗнак"/>
    <w:uiPriority w:val="11"/>
    <w:qFormat w:val="on"/>
    <w:rPr>
      <w:rFonts w:cstheme="majorBidi" w:eastAsiaTheme="majorEastAsia"/>
      <w:color w:val="595959" w:themeColor="text1" w:themeTint="a6"/>
      <w:spacing w:val="15"/>
      <w:sz w:val="28"/>
      <w:szCs w:val="28"/>
    </w:rPr>
  </w:style>
  <w:style w:type="character" w:customStyle="1" w:styleId="ПодзаголовокЗнак">
    <w:name w:val="Подзаголовок Знак"/>
    <w:basedOn w:val="DefaultParagraphFont"/>
    <w:link w:val="Subtitle"/>
    <w:uiPriority w:val="11"/>
    <w:rPr>
      <w:rFonts w:cstheme="majorBidi" w:eastAsiaTheme="majorEastAsia"/>
      <w:color w:val="595959" w:themeColor="text1" w:themeTint="a6"/>
      <w:spacing w:val="15"/>
      <w:sz w:val="28"/>
      <w:szCs w:val="28"/>
    </w:rPr>
  </w:style>
  <w:style w:type="paragraph" w:styleId="Quote">
    <w:name w:val="Quote"/>
    <w:basedOn w:val="Normal"/>
    <w:next w:val="Normal"/>
    <w:link w:val="Цитата2Знак"/>
    <w:uiPriority w:val="29"/>
    <w:qFormat w:val="on"/>
    <w:pPr>
      <w:spacing w:before="160"/>
      <w:jc w:val="center"/>
    </w:pPr>
    <w:rPr>
      <w:i/>
      <w:iCs/>
      <w:color w:val="404040" w:themeColor="text1" w:themeTint="bf"/>
    </w:rPr>
  </w:style>
  <w:style w:type="character" w:customStyle="1" w:styleId="Цитата2Знак">
    <w:name w:val="Цитата 2 Знак"/>
    <w:basedOn w:val="DefaultParagraphFont"/>
    <w:link w:val="Quote"/>
    <w:uiPriority w:val="29"/>
    <w:rPr>
      <w:i/>
      <w:iCs/>
      <w:color w:val="404040" w:themeColor="text1" w:themeTint="bf"/>
    </w:rPr>
  </w:style>
  <w:style w:type="paragraph" w:styleId="ListParagraph">
    <w:name w:val="List Paragraph"/>
    <w:basedOn w:val="Normal"/>
    <w:uiPriority w:val="34"/>
    <w:qFormat w:val="on"/>
    <w:pPr>
      <w:ind w:left="720"/>
      <w:contextualSpacing w:val="on"/>
    </w:pPr>
  </w:style>
  <w:style w:type="character" w:styleId="IntenseEmphasis">
    <w:name w:val="Intense Emphasis"/>
    <w:basedOn w:val="DefaultParagraphFont"/>
    <w:uiPriority w:val="21"/>
    <w:qFormat w:val="on"/>
    <w:rPr>
      <w:i/>
      <w:iCs/>
      <w:color w:val="104760" w:themeColor="accent1" w:themeShade="bf"/>
    </w:rPr>
  </w:style>
  <w:style w:type="paragraph" w:styleId="IntenseQuote">
    <w:name w:val="Intense Quote"/>
    <w:basedOn w:val="Normal"/>
    <w:next w:val="Normal"/>
    <w:link w:val="ВыделеннаяцитатаЗнак"/>
    <w:uiPriority w:val="30"/>
    <w:qFormat w:val="on"/>
    <w:pPr>
      <w:pBdr>
        <w:top w:val="single" w:color="104760" w:themeColor="accent1" w:themeShade="bf" w:sz="4" w:space="10"/>
        <w:bottom w:val="single" w:color="104760" w:themeColor="accent1" w:themeShade="bf" w:sz="4" w:space="10"/>
      </w:pBdr>
      <w:spacing w:before="360" w:after="360"/>
      <w:ind w:left="864" w:right="864"/>
      <w:jc w:val="center"/>
    </w:pPr>
    <w:rPr>
      <w:i/>
      <w:iCs/>
      <w:color w:val="104760" w:themeColor="accent1" w:themeShade="bf"/>
    </w:rPr>
  </w:style>
  <w:style w:type="character" w:customStyle="1" w:styleId="ВыделеннаяцитатаЗнак">
    <w:name w:val="Выделенная цитата Знак"/>
    <w:basedOn w:val="DefaultParagraphFont"/>
    <w:link w:val="IntenseQuote"/>
    <w:uiPriority w:val="30"/>
    <w:rPr>
      <w:i/>
      <w:iCs/>
      <w:color w:val="104760" w:themeColor="accent1" w:themeShade="bf"/>
    </w:rPr>
  </w:style>
  <w:style w:type="character" w:styleId="IntenseReference">
    <w:name w:val="Intense Reference"/>
    <w:basedOn w:val="DefaultParagraphFont"/>
    <w:uiPriority w:val="32"/>
    <w:qFormat w:val="on"/>
    <w:rPr>
      <w:b/>
      <w:bCs/>
      <w:smallCaps/>
      <w:color w:val="104760" w:themeColor="accent1" w:themeShade="bf"/>
      <w:spacing w:val="5"/>
    </w:rPr>
  </w:style>
  <w:style w:type="table" w:styleId="TableGrid">
    <w:name w:val="Table Grid"/>
    <w:basedOn w:val="NormalTable"/>
    <w:uiPriority w:val="3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UnresolvedMention">
    <w:name w:val="Unresolved Mention"/>
    <w:basedOn w:val="DefaultParagraphFont"/>
    <w:uiPriority w:val="99"/>
    <w:semiHidden w:val="on"/>
    <w:unhideWhenUsed w:val="on"/>
    <w:rPr>
      <w:color w:val="605e5c"/>
      <w:shd w:val="clear" w:color="auto" w:fill="e1dfdd"/>
    </w:rPr>
  </w:style>
  <w:style w:type="paragraph" w:styleId="Normal(Web)">
    <w:name w:val="Normal (Web)"/>
    <w:basedOn w:val="Normal"/>
    <w:uiPriority w:val="99"/>
    <w:semiHidden w:val="on"/>
    <w:unhideWhenUsed w:val="on"/>
    <w:pPr>
      <w:spacing w:before="100" w:after="100" w:line="240" w:lineRule="auto"/>
    </w:pPr>
    <w:rPr>
      <w:rFonts w:ascii="Times New Roman" w:cs="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 Type="http://schemas.openxmlformats.org/officeDocument/2006/relationships/numbering" Target="numbering.xml"/><Relationship Id="rId27" Type="http://schemas.openxmlformats.org/officeDocument/2006/relationships/fontTable" Target="fontTable.xml"/><Relationship Id="rId28" Type="http://schemas.openxmlformats.org/officeDocument/2006/relationships/theme" Target="theme/theme1.xml"/><Relationship Id="rId29" Type="http://schemas.openxmlformats.org/officeDocument/2006/relationships/image" Target="media/image1.jpeg"/><Relationship Id="rId3" Type="http://schemas.openxmlformats.org/officeDocument/2006/relationships/styles" Target="styles.xml"/><Relationship Id="rId30" Type="http://schemas.openxmlformats.org/officeDocument/2006/relationships/image" Target="media/image3.png"/><Relationship Id="rId4" Type="http://schemas.openxmlformats.org/officeDocument/2006/relationships/settings" Target="settings.xml"/><Relationship Id="rId6" Type="http://schemas.openxmlformats.org/officeDocument/2006/relationships/footnotes" Target="footnotes.xml"/><Relationship Id="rId7" Type="http://schemas.openxmlformats.org/officeDocument/2006/relationships/endnotes" Target="endnotes.xml"/><Relationship Id="rId1" Type="http://schemas.openxmlformats.org/officeDocument/2006/relationships/customXml" Target="../customXml/item1.xml"/><Relationship Id="rId5" Type="http://schemas.openxmlformats.org/officeDocument/2006/relationships/webSettings" Target="webSettings.xml"/><Relationship Id="rId8" Type="http://schemas.openxmlformats.org/officeDocument/2006/relationships/hyperlink" Target="https://orcid.org/my-orcid?orcid=0000-0003-0892-7380" TargetMode="External"/><Relationship Id="rId9" Type="http://schemas.openxmlformats.org/officeDocument/2006/relationships/hyperlink" Target="https://orcid.org/my-orcid?orcid=0000-0003-0892-7380" TargetMode="External"/><Relationship Id="rId10" Type="http://schemas.openxmlformats.org/officeDocument/2006/relationships/hyperlink" Target="https://orcid.org/my-orcid?orcid=0000-0003-0892-7380" TargetMode="External"/><Relationship Id="rId11" Type="http://schemas.openxmlformats.org/officeDocument/2006/relationships/hyperlink" Target="https://orcid.org/my-orcid?orcid=0000-0003-0892-7380" TargetMode="External"/><Relationship Id="rId14" Type="http://schemas.openxmlformats.org/officeDocument/2006/relationships/image" Target="media/image10.jpg"/><Relationship Id="rId16" Type="http://schemas.openxmlformats.org/officeDocument/2006/relationships/image" Target="media/image20.png"/><Relationship Id="rId17" Type="http://schemas.openxmlformats.org/officeDocument/2006/relationships/hyperlink" Target="https://share.google/Md73S8LEmRIkvrPeB" TargetMode="External"/><Relationship Id="rId18" Type="http://schemas.openxmlformats.org/officeDocument/2006/relationships/hyperlink" Target="http://www.persee.fr/authority/149" TargetMode="External"/><Relationship Id="rId19" Type="http://schemas.openxmlformats.org/officeDocument/2006/relationships/hyperlink" Target="http://www.persee.fr/collection/lgge" TargetMode="External"/><Relationship Id="rId20" Type="http://schemas.openxmlformats.org/officeDocument/2006/relationships/hyperlink" Target="http://www.persee.fr/doc/lgge_0458-726x_" TargetMode="External"/><Relationship Id="rId21" Type="http://schemas.openxmlformats.org/officeDocument/2006/relationships/hyperlink" Target="https://share.google/sAUm4xK4ZxlRX42Tk" TargetMode="External"/><Relationship Id="rId22" Type="http://schemas.openxmlformats.org/officeDocument/2006/relationships/hyperlink" Target="https://share.google/Md73S8LEmRIkvrPeB" TargetMode="External"/><Relationship Id="rId23" Type="http://schemas.openxmlformats.org/officeDocument/2006/relationships/hyperlink" Target="http://www.persee.fr/authority/149" TargetMode="External"/><Relationship Id="rId24" Type="http://schemas.openxmlformats.org/officeDocument/2006/relationships/hyperlink" Target="http://www.persee.fr/collection/lgge" TargetMode="External"/><Relationship Id="rId25" Type="http://schemas.openxmlformats.org/officeDocument/2006/relationships/hyperlink" Target="http://www.persee.fr/doc/lgge_0458-726x_" TargetMode="External"/><Relationship Id="rId26" Type="http://schemas.openxmlformats.org/officeDocument/2006/relationships/hyperlink" Target="https://share.google/sAUm4xK4ZxlRX42Tk" TargetMode="Externa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 Id="rId1" Type="http://schemas.openxmlformats.org/officeDocument/2006/relationships/hyperlink" Target="https://share.google/sAUm4xK4ZxlRX42Tk" TargetMode="External"/><Relationship Id="rId2" Type="http://schemas.openxmlformats.org/officeDocument/2006/relationships/hyperlink" Target="http://www.persee.fr/authority/149" TargetMode="External"/><Relationship Id="rId3" Type="http://schemas.openxmlformats.org/officeDocument/2006/relationships/hyperlink" Target="http://www.persee.fr/collection/lgge" TargetMode="External"/><Relationship Id="rId4" Type="http://schemas.openxmlformats.org/officeDocument/2006/relationships/hyperlink" Target="http://www.persee.fr/issue/lgge_0458-726x_1976_num_10_43?sectionId=lgge_0458-726x_1976_num_10_43_2322" TargetMode="External"/><Relationship Id="rId5" Type="http://schemas.openxmlformats.org/officeDocument/2006/relationships/hyperlink" Target="http://www.persee.fr/doc/lgge_0458-726x_" TargetMode="External"/></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Calibri Light"/>
        <a:ea typeface="Arial"/>
        <a:cs typeface="Arial"/>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a:ea typeface="Arial"/>
        <a:cs typeface="Arial"/>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FD304-9092-466C-8A40-0A2D739CA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21</Pages>
  <Words>5336</Words>
  <Characters>30419</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Белозерова</dc:creator>
  <cp:lastModifiedBy>АННА</cp:lastModifiedBy>
</cp:coreProperties>
</file>